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仿宋_GB2312"/>
          <w:b/>
          <w:sz w:val="36"/>
          <w:szCs w:val="36"/>
        </w:rPr>
      </w:pPr>
      <w:r>
        <w:rPr>
          <w:rFonts w:hint="eastAsia" w:ascii="黑体" w:hAnsi="黑体" w:eastAsia="黑体" w:cs="仿宋_GB2312"/>
          <w:b/>
          <w:color w:val="000000"/>
          <w:sz w:val="36"/>
          <w:szCs w:val="36"/>
        </w:rPr>
        <w:t>2019年度机械行业职业教育技能大赛</w:t>
      </w:r>
    </w:p>
    <w:p>
      <w:pPr>
        <w:widowControl/>
        <w:jc w:val="center"/>
        <w:rPr>
          <w:rFonts w:hint="eastAsia" w:ascii="黑体" w:hAnsi="黑体" w:eastAsia="黑体" w:cs="仿宋_GB2312"/>
          <w:b/>
          <w:sz w:val="36"/>
          <w:szCs w:val="36"/>
        </w:rPr>
      </w:pPr>
      <w:r>
        <w:rPr>
          <w:rFonts w:hint="eastAsia" w:ascii="黑体" w:hAnsi="黑体" w:eastAsia="黑体" w:cs="仿宋_GB2312"/>
          <w:b/>
          <w:color w:val="000000"/>
          <w:sz w:val="36"/>
          <w:szCs w:val="36"/>
        </w:rPr>
        <w:t>“百匠杯”工业产品创新设计与3D打印技术</w:t>
      </w:r>
      <w:r>
        <w:rPr>
          <w:rFonts w:hint="eastAsia" w:ascii="黑体" w:hAnsi="黑体" w:eastAsia="黑体" w:cs="仿宋_GB2312"/>
          <w:b/>
          <w:sz w:val="36"/>
          <w:szCs w:val="36"/>
        </w:rPr>
        <w:t>赛项</w:t>
      </w:r>
    </w:p>
    <w:p>
      <w:pPr>
        <w:widowControl/>
        <w:jc w:val="center"/>
        <w:rPr>
          <w:rFonts w:ascii="Arial Narrow" w:hAnsi="Arial Narrow" w:eastAsia="黑体"/>
          <w:b/>
          <w:sz w:val="36"/>
          <w:szCs w:val="36"/>
        </w:rPr>
      </w:pPr>
      <w:r>
        <w:rPr>
          <w:rFonts w:hint="eastAsia" w:ascii="黑体" w:hAnsi="黑体" w:eastAsia="黑体" w:cs="仿宋_GB2312"/>
          <w:b/>
          <w:sz w:val="36"/>
          <w:szCs w:val="36"/>
        </w:rPr>
        <w:t>竞赛规程</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一、赛项名称</w:t>
      </w:r>
    </w:p>
    <w:p>
      <w:pPr>
        <w:tabs>
          <w:tab w:val="left" w:pos="1260"/>
        </w:tabs>
        <w:adjustRightInd/>
        <w:spacing w:after="0"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工业产品创新设计与3D打印技术</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二、赛项组别</w:t>
      </w:r>
      <w:r>
        <w:rPr>
          <w:rFonts w:ascii="Arial Narrow" w:hAnsi="Arial Narrow" w:eastAsia="仿宋_GB2312" w:cs="Arial"/>
          <w:b/>
          <w:bCs/>
          <w:color w:val="000000"/>
          <w:sz w:val="30"/>
          <w:szCs w:val="30"/>
        </w:rPr>
        <w:t>及</w:t>
      </w:r>
      <w:r>
        <w:rPr>
          <w:rFonts w:hint="eastAsia" w:ascii="Arial Narrow" w:hAnsi="Arial Narrow" w:eastAsia="仿宋_GB2312" w:cs="Arial"/>
          <w:b/>
          <w:bCs/>
          <w:color w:val="000000"/>
          <w:sz w:val="30"/>
          <w:szCs w:val="30"/>
        </w:rPr>
        <w:t>参赛对象</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（一）赛项组别</w:t>
      </w:r>
    </w:p>
    <w:p>
      <w:pPr>
        <w:spacing w:line="560" w:lineRule="exact"/>
        <w:ind w:firstLine="600" w:firstLineChars="20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职工组</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中职组</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高职组</w:t>
      </w:r>
      <w:r>
        <w:rPr>
          <w:rFonts w:hint="eastAsia" w:ascii="仿宋_GB2312" w:hAnsi="仿宋_GB2312" w:eastAsia="仿宋_GB2312" w:cs="仿宋_GB2312"/>
          <w:sz w:val="30"/>
          <w:szCs w:val="30"/>
          <w:lang w:eastAsia="zh-CN"/>
        </w:rPr>
        <w:t>、国际组</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（二）参赛对象</w:t>
      </w:r>
    </w:p>
    <w:p>
      <w:pPr>
        <w:spacing w:line="56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职工组：高等职业院校（含高职、高专、成人高校）、技师学院相关专业专任教师、中等职业学校（含中专、职高、职教中心）、技工学校相关专业、相关企业职工人员</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凡在往届本赛项中获一等奖的选手不再参加。</w:t>
      </w:r>
    </w:p>
    <w:p>
      <w:pPr>
        <w:spacing w:line="560" w:lineRule="exac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中职组：中等职业学校（含中专、职高、职教中心）、技工学校相关专业在籍学生</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每支参赛队由2名学生组成。凡在往届本赛项中获一等奖的选手不再参加。</w:t>
      </w:r>
      <w:r>
        <w:rPr>
          <w:rFonts w:ascii="Times New Roman" w:hAnsi="Times New Roman" w:eastAsia="仿宋_GB2312"/>
          <w:sz w:val="30"/>
          <w:szCs w:val="30"/>
        </w:rPr>
        <w:t>每队限报2名指导教师，指导教师须为本校专兼职教师。</w:t>
      </w:r>
    </w:p>
    <w:p>
      <w:pPr>
        <w:spacing w:line="560" w:lineRule="exact"/>
        <w:ind w:firstLine="600" w:firstLineChars="200"/>
        <w:jc w:val="left"/>
        <w:rPr>
          <w:rFonts w:ascii="Times New Roman" w:hAnsi="Times New Roman" w:eastAsia="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高职组：高等职业院校（含高职、高专、成人高校）、技师学院相关专业在籍学生</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每支参赛队由2名学生组成。凡在往届本赛项中获一等奖的选手不再参加。</w:t>
      </w:r>
      <w:r>
        <w:rPr>
          <w:rFonts w:ascii="Times New Roman" w:hAnsi="Times New Roman" w:eastAsia="仿宋_GB2312"/>
          <w:sz w:val="30"/>
          <w:szCs w:val="30"/>
        </w:rPr>
        <w:t>每队限报2名指导教师，指导教师须为本校专兼职教师。</w:t>
      </w:r>
    </w:p>
    <w:p>
      <w:pPr>
        <w:spacing w:line="560" w:lineRule="exact"/>
        <w:ind w:firstLine="600" w:firstLineChars="200"/>
        <w:jc w:val="left"/>
        <w:rPr>
          <w:rFonts w:hint="eastAsia" w:ascii="Arial Narrow" w:hAnsi="Arial Narrow" w:eastAsia="仿宋_GB2312" w:cs="Arial"/>
          <w:b/>
          <w:bCs/>
          <w:color w:val="000000"/>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国际组：参赛选手须（中国之外的团队）为国际普通高等学校全日制在校学生，</w:t>
      </w:r>
      <w:r>
        <w:rPr>
          <w:rFonts w:hint="eastAsia" w:ascii="仿宋_GB2312" w:hAnsi="仿宋_GB2312" w:eastAsia="仿宋_GB2312" w:cs="仿宋_GB2312"/>
          <w:sz w:val="30"/>
          <w:szCs w:val="30"/>
        </w:rPr>
        <w:t>每支参赛队由2名学生组成</w:t>
      </w:r>
      <w:r>
        <w:rPr>
          <w:rFonts w:hint="eastAsia" w:ascii="仿宋_GB2312" w:hAnsi="仿宋_GB2312" w:eastAsia="仿宋_GB2312" w:cs="仿宋_GB2312"/>
          <w:sz w:val="30"/>
          <w:szCs w:val="30"/>
          <w:lang w:eastAsia="zh-CN"/>
        </w:rPr>
        <w:t>。</w:t>
      </w:r>
      <w:r>
        <w:rPr>
          <w:rFonts w:ascii="Times New Roman" w:hAnsi="Times New Roman" w:eastAsia="仿宋_GB2312"/>
          <w:sz w:val="30"/>
          <w:szCs w:val="30"/>
        </w:rPr>
        <w:t>每队限报2名指导教师，指导教师须为本校专兼职教师。</w:t>
      </w:r>
    </w:p>
    <w:p>
      <w:pPr>
        <w:rPr>
          <w:rFonts w:hint="eastAsia"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br w:type="page"/>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三、竞赛拟定时间及地点</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（一）竞赛</w:t>
      </w:r>
      <w:r>
        <w:rPr>
          <w:rFonts w:ascii="楷体" w:hAnsi="楷体" w:eastAsia="楷体" w:cs="仿宋"/>
          <w:sz w:val="30"/>
          <w:szCs w:val="30"/>
        </w:rPr>
        <w:t>时间</w:t>
      </w:r>
    </w:p>
    <w:p>
      <w:pPr>
        <w:spacing w:line="360" w:lineRule="auto"/>
        <w:ind w:firstLine="600" w:firstLineChars="200"/>
        <w:rPr>
          <w:rFonts w:ascii="Times New Roman" w:hAnsi="Times New Roman" w:eastAsia="仿宋"/>
          <w:sz w:val="30"/>
          <w:szCs w:val="30"/>
        </w:rPr>
      </w:pPr>
      <w:r>
        <w:rPr>
          <w:rFonts w:hint="eastAsia" w:ascii="仿宋_GB2312" w:hAnsi="仿宋_GB2312" w:eastAsia="仿宋_GB2312" w:cs="仿宋_GB2312"/>
          <w:sz w:val="30"/>
          <w:szCs w:val="30"/>
        </w:rPr>
        <w:t>2019年11月2</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号-1</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26</w:t>
      </w:r>
      <w:r>
        <w:rPr>
          <w:rFonts w:hint="eastAsia" w:ascii="仿宋_GB2312" w:hAnsi="仿宋_GB2312" w:eastAsia="仿宋_GB2312" w:cs="仿宋_GB2312"/>
          <w:sz w:val="30"/>
          <w:szCs w:val="30"/>
        </w:rPr>
        <w:t>号，11月2</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号报到</w:t>
      </w:r>
      <w:r>
        <w:rPr>
          <w:rFonts w:ascii="Times New Roman" w:hAnsi="Times New Roman" w:eastAsia="仿宋"/>
          <w:sz w:val="30"/>
          <w:szCs w:val="30"/>
        </w:rPr>
        <w:t>。</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（二）竞赛</w:t>
      </w:r>
      <w:r>
        <w:rPr>
          <w:rFonts w:ascii="楷体" w:hAnsi="楷体" w:eastAsia="楷体" w:cs="仿宋"/>
          <w:sz w:val="30"/>
          <w:szCs w:val="30"/>
        </w:rPr>
        <w:t>地点</w:t>
      </w:r>
    </w:p>
    <w:p>
      <w:pPr>
        <w:spacing w:line="560" w:lineRule="exact"/>
        <w:ind w:firstLine="600" w:firstLineChars="200"/>
        <w:jc w:val="left"/>
        <w:rPr>
          <w:rFonts w:ascii="仿宋_GB2312" w:hAnsi="宋体" w:eastAsia="仿宋_GB2312"/>
          <w:kern w:val="0"/>
          <w:sz w:val="30"/>
          <w:szCs w:val="30"/>
        </w:rPr>
      </w:pPr>
      <w:r>
        <w:rPr>
          <w:rFonts w:hint="eastAsia" w:ascii="仿宋_GB2312" w:hAnsi="宋体" w:eastAsia="仿宋_GB2312"/>
          <w:kern w:val="0"/>
          <w:sz w:val="30"/>
          <w:szCs w:val="30"/>
          <w:lang w:eastAsia="zh-CN"/>
        </w:rPr>
        <w:t>天津职业大学</w:t>
      </w:r>
      <w:r>
        <w:rPr>
          <w:rFonts w:hint="eastAsia" w:ascii="仿宋_GB2312" w:hAnsi="宋体" w:eastAsia="仿宋_GB2312"/>
          <w:kern w:val="0"/>
          <w:sz w:val="30"/>
          <w:szCs w:val="30"/>
        </w:rPr>
        <w:t>（</w:t>
      </w:r>
      <w:r>
        <w:rPr>
          <w:rFonts w:hint="eastAsia" w:ascii="仿宋_GB2312" w:hAnsi="宋体" w:eastAsia="仿宋_GB2312"/>
          <w:kern w:val="0"/>
          <w:sz w:val="30"/>
          <w:szCs w:val="30"/>
          <w:lang w:eastAsia="zh-CN"/>
        </w:rPr>
        <w:t>天津市北辰区洛河道</w:t>
      </w:r>
      <w:r>
        <w:rPr>
          <w:rFonts w:hint="eastAsia" w:ascii="仿宋_GB2312" w:hAnsi="宋体" w:eastAsia="仿宋_GB2312"/>
          <w:kern w:val="0"/>
          <w:sz w:val="30"/>
          <w:szCs w:val="30"/>
          <w:lang w:val="en-US" w:eastAsia="zh-CN"/>
        </w:rPr>
        <w:t>2</w:t>
      </w:r>
      <w:r>
        <w:rPr>
          <w:rFonts w:hint="eastAsia" w:ascii="仿宋_GB2312" w:hAnsi="宋体" w:eastAsia="仿宋_GB2312"/>
          <w:kern w:val="0"/>
          <w:sz w:val="30"/>
          <w:szCs w:val="30"/>
        </w:rPr>
        <w:t>号）。</w:t>
      </w:r>
    </w:p>
    <w:p>
      <w:pPr>
        <w:spacing w:line="560" w:lineRule="exact"/>
        <w:ind w:firstLine="600" w:firstLineChars="200"/>
        <w:jc w:val="left"/>
        <w:rPr>
          <w:rFonts w:ascii="仿宋_GB2312" w:hAnsi="仿宋_GB2312" w:eastAsia="仿宋_GB2312" w:cs="仿宋_GB2312"/>
          <w:sz w:val="30"/>
          <w:szCs w:val="30"/>
        </w:rPr>
      </w:pPr>
      <w:r>
        <w:rPr>
          <w:rFonts w:hint="eastAsia" w:ascii="仿宋" w:hAnsi="仿宋" w:eastAsia="仿宋" w:cs="仿宋"/>
          <w:sz w:val="30"/>
          <w:szCs w:val="30"/>
        </w:rPr>
        <w:t>报到地点和住宿酒店等安排详见报到通知。</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四、竞赛方式与内容</w:t>
      </w:r>
    </w:p>
    <w:p>
      <w:pPr>
        <w:snapToGrid w:val="0"/>
        <w:spacing w:line="540" w:lineRule="exact"/>
        <w:ind w:firstLine="600" w:firstLineChars="200"/>
        <w:rPr>
          <w:rFonts w:ascii="Times New Roman" w:hAnsi="Times New Roman" w:eastAsia="楷体"/>
          <w:sz w:val="30"/>
          <w:szCs w:val="30"/>
        </w:rPr>
      </w:pPr>
      <w:r>
        <w:rPr>
          <w:rFonts w:hint="eastAsia" w:ascii="楷体" w:hAnsi="楷体" w:eastAsia="楷体" w:cs="仿宋"/>
          <w:sz w:val="30"/>
          <w:szCs w:val="30"/>
        </w:rPr>
        <w:t>（一）</w:t>
      </w:r>
      <w:r>
        <w:rPr>
          <w:rFonts w:ascii="Times New Roman" w:hAnsi="Times New Roman" w:eastAsia="楷体"/>
          <w:sz w:val="30"/>
          <w:szCs w:val="30"/>
        </w:rPr>
        <w:t>竞赛方式</w:t>
      </w:r>
    </w:p>
    <w:p>
      <w:pPr>
        <w:adjustRightInd/>
        <w:spacing w:after="0" w:line="56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sz w:val="30"/>
          <w:szCs w:val="30"/>
        </w:rPr>
        <w:t>中职组</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高职组</w:t>
      </w:r>
      <w:r>
        <w:rPr>
          <w:rFonts w:hint="eastAsia" w:ascii="仿宋_GB2312" w:hAnsi="仿宋_GB2312" w:eastAsia="仿宋_GB2312" w:cs="仿宋_GB2312"/>
          <w:bCs/>
          <w:sz w:val="30"/>
          <w:szCs w:val="30"/>
        </w:rPr>
        <w:t>：团体赛，每支参赛队由2名选手组成，每队可选派2名指导教师，</w:t>
      </w:r>
      <w:r>
        <w:rPr>
          <w:rFonts w:hint="eastAsia" w:ascii="Arial Narrow" w:hAnsi="Arial Narrow" w:eastAsia="仿宋_GB2312" w:cs="Arial"/>
          <w:sz w:val="30"/>
          <w:szCs w:val="30"/>
        </w:rPr>
        <w:t>指导教师</w:t>
      </w:r>
      <w:r>
        <w:rPr>
          <w:rFonts w:ascii="Arial Narrow" w:hAnsi="Arial Narrow" w:eastAsia="仿宋_GB2312" w:cs="Arial"/>
          <w:sz w:val="30"/>
          <w:szCs w:val="30"/>
        </w:rPr>
        <w:t>须为本校专兼职教师</w:t>
      </w:r>
      <w:r>
        <w:rPr>
          <w:rFonts w:hint="eastAsia" w:ascii="Arial Narrow" w:hAnsi="Arial Narrow" w:eastAsia="仿宋_GB2312" w:cs="Arial"/>
          <w:sz w:val="30"/>
          <w:szCs w:val="30"/>
        </w:rPr>
        <w:t>。</w:t>
      </w:r>
      <w:r>
        <w:rPr>
          <w:rFonts w:hint="eastAsia" w:ascii="仿宋_GB2312" w:hAnsi="仿宋_GB2312" w:eastAsia="仿宋_GB2312" w:cs="仿宋_GB2312"/>
          <w:bCs/>
          <w:sz w:val="30"/>
          <w:szCs w:val="30"/>
        </w:rPr>
        <w:t>每校</w:t>
      </w:r>
      <w:r>
        <w:rPr>
          <w:rFonts w:hint="eastAsia" w:ascii="仿宋_GB2312" w:hAnsi="仿宋_GB2312" w:eastAsia="仿宋_GB2312" w:cs="仿宋_GB2312"/>
          <w:bCs/>
          <w:sz w:val="30"/>
          <w:szCs w:val="30"/>
          <w:lang w:eastAsia="zh-CN"/>
        </w:rPr>
        <w:t>每组</w:t>
      </w:r>
      <w:r>
        <w:rPr>
          <w:rFonts w:hint="eastAsia" w:ascii="仿宋_GB2312" w:hAnsi="仿宋_GB2312" w:eastAsia="仿宋_GB2312" w:cs="仿宋_GB2312"/>
          <w:bCs/>
          <w:sz w:val="30"/>
          <w:szCs w:val="30"/>
        </w:rPr>
        <w:t>限报1支队伍，不得跨校组队。</w:t>
      </w:r>
    </w:p>
    <w:p>
      <w:pPr>
        <w:snapToGrid w:val="0"/>
        <w:spacing w:line="54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职工组 ：个人赛，每校、每单位限报1支队伍。</w:t>
      </w:r>
    </w:p>
    <w:p>
      <w:pPr>
        <w:adjustRightInd/>
        <w:spacing w:after="0" w:line="560" w:lineRule="exact"/>
        <w:ind w:firstLine="600" w:firstLineChars="200"/>
        <w:rPr>
          <w:rFonts w:hint="default" w:ascii="仿宋_GB2312" w:hAnsi="仿宋_GB2312" w:eastAsia="仿宋_GB2312" w:cs="仿宋_GB2312"/>
          <w:bCs/>
          <w:sz w:val="30"/>
          <w:szCs w:val="30"/>
          <w:lang w:val="en-US"/>
        </w:rPr>
      </w:pPr>
      <w:r>
        <w:rPr>
          <w:rFonts w:hint="eastAsia" w:ascii="仿宋_GB2312" w:hAnsi="仿宋_GB2312" w:eastAsia="仿宋_GB2312" w:cs="仿宋_GB2312"/>
          <w:bCs/>
          <w:sz w:val="30"/>
          <w:szCs w:val="30"/>
          <w:lang w:eastAsia="zh-CN"/>
        </w:rPr>
        <w:t>国际组</w:t>
      </w:r>
      <w:r>
        <w:rPr>
          <w:rFonts w:hint="eastAsia" w:ascii="仿宋_GB2312" w:hAnsi="仿宋_GB2312" w:eastAsia="仿宋_GB2312" w:cs="仿宋_GB2312"/>
          <w:bCs/>
          <w:sz w:val="30"/>
          <w:szCs w:val="30"/>
          <w:lang w:val="en-US" w:eastAsia="zh-CN"/>
        </w:rPr>
        <w:t xml:space="preserve"> : </w:t>
      </w:r>
      <w:r>
        <w:rPr>
          <w:rFonts w:hint="eastAsia" w:ascii="仿宋_GB2312" w:hAnsi="仿宋_GB2312" w:eastAsia="仿宋_GB2312" w:cs="仿宋_GB2312"/>
          <w:bCs/>
          <w:sz w:val="30"/>
          <w:szCs w:val="30"/>
        </w:rPr>
        <w:t>团体赛，每支参赛队由2名选手组成，每队可选派2名指导教师，</w:t>
      </w:r>
      <w:r>
        <w:rPr>
          <w:rFonts w:hint="eastAsia" w:ascii="Arial Narrow" w:hAnsi="Arial Narrow" w:eastAsia="仿宋_GB2312" w:cs="Arial"/>
          <w:sz w:val="30"/>
          <w:szCs w:val="30"/>
        </w:rPr>
        <w:t>指导教师</w:t>
      </w:r>
      <w:r>
        <w:rPr>
          <w:rFonts w:ascii="Arial Narrow" w:hAnsi="Arial Narrow" w:eastAsia="仿宋_GB2312" w:cs="Arial"/>
          <w:sz w:val="30"/>
          <w:szCs w:val="30"/>
        </w:rPr>
        <w:t>须为本校教师</w:t>
      </w:r>
      <w:r>
        <w:rPr>
          <w:rFonts w:hint="eastAsia" w:ascii="Arial Narrow" w:hAnsi="Arial Narrow" w:eastAsia="仿宋_GB2312" w:cs="Arial"/>
          <w:sz w:val="30"/>
          <w:szCs w:val="30"/>
        </w:rPr>
        <w:t>。</w:t>
      </w:r>
      <w:r>
        <w:rPr>
          <w:rFonts w:hint="eastAsia" w:ascii="仿宋_GB2312" w:hAnsi="仿宋_GB2312" w:eastAsia="仿宋_GB2312" w:cs="仿宋_GB2312"/>
          <w:bCs/>
          <w:sz w:val="30"/>
          <w:szCs w:val="30"/>
        </w:rPr>
        <w:t>每校</w:t>
      </w:r>
      <w:r>
        <w:rPr>
          <w:rFonts w:hint="eastAsia" w:ascii="仿宋_GB2312" w:hAnsi="仿宋_GB2312" w:eastAsia="仿宋_GB2312" w:cs="仿宋_GB2312"/>
          <w:bCs/>
          <w:sz w:val="30"/>
          <w:szCs w:val="30"/>
          <w:lang w:eastAsia="zh-CN"/>
        </w:rPr>
        <w:t>每组</w:t>
      </w:r>
      <w:r>
        <w:rPr>
          <w:rFonts w:hint="eastAsia" w:ascii="仿宋_GB2312" w:hAnsi="仿宋_GB2312" w:eastAsia="仿宋_GB2312" w:cs="仿宋_GB2312"/>
          <w:bCs/>
          <w:sz w:val="30"/>
          <w:szCs w:val="30"/>
        </w:rPr>
        <w:t>限报1支队伍，不得跨校组队。</w:t>
      </w:r>
    </w:p>
    <w:p>
      <w:pPr>
        <w:numPr>
          <w:ilvl w:val="0"/>
          <w:numId w:val="0"/>
        </w:numPr>
        <w:adjustRightInd/>
        <w:spacing w:after="0" w:line="560" w:lineRule="exact"/>
        <w:ind w:firstLine="600" w:firstLineChars="200"/>
        <w:rPr>
          <w:rFonts w:hint="eastAsia" w:ascii="华文楷体" w:hAnsi="华文楷体" w:eastAsia="华文楷体" w:cs="华文楷体"/>
          <w:sz w:val="28"/>
          <w:szCs w:val="28"/>
        </w:rPr>
      </w:pPr>
      <w:r>
        <w:rPr>
          <w:rFonts w:hint="eastAsia" w:ascii="楷体" w:hAnsi="楷体" w:eastAsia="楷体" w:cs="仿宋"/>
          <w:sz w:val="30"/>
          <w:szCs w:val="30"/>
        </w:rPr>
        <w:t>（二）</w:t>
      </w:r>
      <w:r>
        <w:rPr>
          <w:rFonts w:hint="eastAsia" w:ascii="华文楷体" w:hAnsi="华文楷体" w:eastAsia="华文楷体" w:cs="华文楷体"/>
          <w:sz w:val="28"/>
          <w:szCs w:val="28"/>
        </w:rPr>
        <w:t>比赛内容</w:t>
      </w:r>
    </w:p>
    <w:p>
      <w:pPr>
        <w:adjustRightInd/>
        <w:spacing w:after="0"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比赛分为三个部分，包括</w:t>
      </w:r>
      <w:r>
        <w:rPr>
          <w:rFonts w:hint="eastAsia" w:ascii="仿宋_GB2312" w:hAnsi="仿宋_GB2312" w:eastAsia="仿宋_GB2312" w:cs="仿宋_GB2312"/>
          <w:color w:val="000000"/>
          <w:sz w:val="30"/>
          <w:szCs w:val="30"/>
        </w:rPr>
        <w:t>产品的创新设计、产品制作、产品创新设计答辩</w:t>
      </w:r>
      <w:r>
        <w:rPr>
          <w:rFonts w:hint="eastAsia" w:ascii="仿宋_GB2312" w:hAnsi="仿宋_GB2312" w:eastAsia="仿宋_GB2312" w:cs="仿宋_GB2312"/>
          <w:sz w:val="30"/>
          <w:szCs w:val="30"/>
        </w:rPr>
        <w:t>。</w:t>
      </w:r>
      <w:r>
        <w:rPr>
          <w:rFonts w:hint="eastAsia" w:ascii="仿宋_GB2312" w:hAnsi="仿宋_GB2312" w:eastAsia="仿宋_GB2312" w:cs="仿宋_GB2312"/>
          <w:color w:val="000000"/>
          <w:sz w:val="30"/>
          <w:szCs w:val="30"/>
        </w:rPr>
        <w:t>产品的创新设计不统一地点竞赛，时间为一周。产品制作、产品创新设计答辩为统一时间地点竞赛总时长为5小时。</w:t>
      </w:r>
    </w:p>
    <w:p>
      <w:pPr>
        <w:numPr>
          <w:ilvl w:val="0"/>
          <w:numId w:val="1"/>
        </w:numPr>
        <w:adjustRightInd/>
        <w:spacing w:after="0"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产品的创新设计</w:t>
      </w:r>
    </w:p>
    <w:p>
      <w:pPr>
        <w:adjustRightInd/>
        <w:spacing w:after="0"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根据任务书要求，完成一个工业产品的正向创新设计任务。此任务要求参赛队按任务书要求设计出可实现的要求功能产品，同时根据3D 打印技术优势，使得设计的功能产品在实现功能的前提下更加节能环保。</w:t>
      </w:r>
    </w:p>
    <w:p>
      <w:pPr>
        <w:numPr>
          <w:ilvl w:val="0"/>
          <w:numId w:val="2"/>
        </w:numPr>
        <w:adjustRightInd/>
        <w:spacing w:after="0"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产品快速制作</w:t>
      </w:r>
    </w:p>
    <w:p>
      <w:pPr>
        <w:numPr>
          <w:ilvl w:val="0"/>
          <w:numId w:val="0"/>
        </w:numPr>
        <w:adjustRightInd/>
        <w:spacing w:after="0"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选手以上阶段设计出的3D数据为基础，根据3D打印赛段给出的限定条件，修改后进行零件制作。</w:t>
      </w:r>
    </w:p>
    <w:p>
      <w:pPr>
        <w:adjustRightInd/>
        <w:spacing w:after="0" w:line="560" w:lineRule="exact"/>
        <w:ind w:firstLine="6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选手需要合理安排时间，使用现场所提供的3D打印设备，将创新设计阶段所设计的三维模型导入到3D打印数据处理软件中，根据零件结构选择合理的摆放那个位置与打印参数，使用赛场提供的打印机进行制作。赛场提供SLA与FDM 两种3D打印机，每种打印机必须至少打印一个零件。但是具体哪一个零件用哪一个种类的打印机打印，选手可自由选择。根据打印速度与打印质量综合考虑。打印完成后，剥离支撑材料，对成型零件表面进行适当处理，选手根据设计思路进行装配，最终呈现出一个可以</w:t>
      </w:r>
      <w:r>
        <w:rPr>
          <w:rFonts w:hint="eastAsia" w:ascii="仿宋_GB2312" w:hAnsi="仿宋_GB2312" w:eastAsia="仿宋_GB2312" w:cs="仿宋_GB2312"/>
          <w:sz w:val="30"/>
          <w:szCs w:val="30"/>
          <w:lang w:eastAsia="zh-CN"/>
        </w:rPr>
        <w:t>实现</w:t>
      </w:r>
      <w:r>
        <w:rPr>
          <w:rFonts w:hint="eastAsia" w:ascii="仿宋_GB2312" w:hAnsi="仿宋_GB2312" w:eastAsia="仿宋_GB2312" w:cs="仿宋_GB2312"/>
          <w:sz w:val="30"/>
          <w:szCs w:val="30"/>
        </w:rPr>
        <w:t>一定</w:t>
      </w:r>
      <w:r>
        <w:rPr>
          <w:rFonts w:hint="eastAsia" w:ascii="仿宋_GB2312" w:hAnsi="仿宋_GB2312" w:eastAsia="仿宋_GB2312" w:cs="仿宋_GB2312"/>
          <w:sz w:val="30"/>
          <w:szCs w:val="30"/>
          <w:lang w:eastAsia="zh-CN"/>
        </w:rPr>
        <w:t>功能</w:t>
      </w:r>
      <w:r>
        <w:rPr>
          <w:rFonts w:hint="eastAsia" w:ascii="仿宋_GB2312" w:hAnsi="仿宋_GB2312" w:eastAsia="仿宋_GB2312" w:cs="仿宋_GB2312"/>
          <w:sz w:val="30"/>
          <w:szCs w:val="30"/>
        </w:rPr>
        <w:t>的</w:t>
      </w:r>
      <w:r>
        <w:rPr>
          <w:rFonts w:hint="eastAsia" w:ascii="仿宋_GB2312" w:hAnsi="仿宋_GB2312" w:eastAsia="仿宋_GB2312" w:cs="仿宋_GB2312"/>
          <w:sz w:val="30"/>
          <w:szCs w:val="30"/>
          <w:lang w:eastAsia="zh-CN"/>
        </w:rPr>
        <w:t>产品</w:t>
      </w:r>
      <w:r>
        <w:rPr>
          <w:rFonts w:hint="eastAsia" w:ascii="仿宋_GB2312" w:hAnsi="仿宋_GB2312" w:eastAsia="仿宋_GB2312" w:cs="仿宋_GB2312"/>
          <w:sz w:val="30"/>
          <w:szCs w:val="30"/>
        </w:rPr>
        <w:t>，作为评分对象。</w:t>
      </w:r>
    </w:p>
    <w:p>
      <w:pPr>
        <w:numPr>
          <w:ilvl w:val="0"/>
          <w:numId w:val="2"/>
        </w:numPr>
        <w:adjustRightInd/>
        <w:spacing w:after="0" w:line="560" w:lineRule="exact"/>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产品创新设计答辩</w:t>
      </w:r>
    </w:p>
    <w:p>
      <w:pPr>
        <w:snapToGrid w:val="0"/>
        <w:spacing w:line="540" w:lineRule="exact"/>
        <w:ind w:firstLine="600" w:firstLineChars="200"/>
        <w:rPr>
          <w:rFonts w:hint="eastAsia" w:ascii="楷体" w:hAnsi="楷体" w:eastAsia="楷体" w:cs="仿宋"/>
          <w:sz w:val="30"/>
          <w:szCs w:val="30"/>
        </w:rPr>
      </w:pPr>
      <w:r>
        <w:rPr>
          <w:rFonts w:hint="eastAsia" w:ascii="仿宋_GB2312" w:hAnsi="仿宋_GB2312" w:eastAsia="仿宋_GB2312" w:cs="仿宋_GB2312"/>
          <w:sz w:val="30"/>
          <w:szCs w:val="30"/>
        </w:rPr>
        <w:t>选手根据设计的产品创新设计思路，以产品的创新点、产品优势、设计理念、产品亮点等为主要内容进行介绍。选手使用PPT辅助答辩。选手答辩完成之后现场专家对其进行开放式提问，选手须做出相应回答。产品设计说明书（PPT）主要包括产品的创新点、创意灵感、产品优势、设计理念、产品亮点、工艺性、虚拟装配模拟演示视频、产品渲染图片等内容。产品设计说明书（PPT）在答辩环节检录时上交裁判。</w:t>
      </w:r>
    </w:p>
    <w:p>
      <w:pPr>
        <w:pStyle w:val="2"/>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五、竞赛规则</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（一）熟悉场地</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1.选手报到后由主办方组织各参赛队熟悉场地。熟悉场地时，参赛队限定在观摩区活动，不得进入比赛区。同时，召开领队会议，宣布竞赛纪律和有关规定。</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2.熟悉场地时应严格遵守相关规定，严禁喧哗、拥挤、打闹，避免发生意外事故。</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（二）文明参赛要求</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1.竞赛所用的设备、仪器、工具等由大赛执委会统一提供，各参赛队可以根据需要选择使用。</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2.参赛选手在比赛开始前30分钟前到指定地点检录，接受工作人员对选手身份、资格和有关证件的检查。竞赛计时开始，选手未到的，视为自动放弃。</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3.比赛用仪器设备、赛位由抽签确定，不得擅自变更、调整。</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4.选手在竞赛过程中不得擅自离开赛场。如有特殊情况，须经裁判人员同意。选手休息、饮水、上洗手间等不安排专门用时，统一计在竞赛时间内。竞赛计时以赛场设置的时钟为准。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5.竞赛期间，选手不得将手机等通信工具带入赛场。非同组选手之间不得以任何方式传递信息，如传递纸条、用手势表达信息、用暗语交换信息等。</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6.所有人员在赛场内不得喧哗，不得有影响其他选手完成工作任务的行为。</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7.爱护赛场提供的器材，不得移动赛场内台桌、设备和其它物品的定置，不得故意损坏设备和仪器。比赛中参赛选手须严格遵守相关操作规程，确保人身及设备安全，并接受裁判员的监督和警示。</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8.完成竞赛任务期间，不得与其他选手讨论，不得旁窥其他选手的操作。</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9.遇事应先举手示意，并与裁判人员协商，按裁判人员的意见办理。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10.参赛选手须在赛位的计算机上规定的文件夹内存储比赛文档。</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11.比赛过程中，选手须严格遵守安全操作规程以确保人身及设备安全。选手因个人误操作造成人身安全事故和设备故障时，裁判长有权中止该队比赛</w:t>
      </w:r>
      <w:bookmarkStart w:id="0" w:name="_GoBack"/>
      <w:bookmarkEnd w:id="0"/>
      <w:r>
        <w:rPr>
          <w:rFonts w:hint="eastAsia" w:ascii="Arial Narrow" w:hAnsi="Arial Narrow" w:eastAsia="仿宋_GB2312" w:cs="Arial"/>
          <w:color w:val="000000"/>
          <w:sz w:val="30"/>
          <w:szCs w:val="30"/>
        </w:rPr>
        <w:t>；如非选手个人原因出现设备故障而无法比赛，由裁判长视具体情况做出裁决(调换到备份赛位或调整至最后一场次参加比赛)。裁判长确定设备故障时可派技术支持人员排除故障后继续比赛，并补足所耽误的比赛时间。</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12.参赛队如需提前结束竞赛，应举手向裁判员示意，由裁判员记录比赛结束时间。参赛队结束比赛后不得再进行任何操作。</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13.选手须按照程序提交比赛结果，配合裁判做好赛场情况记录并与裁判一起签字确认，不得拒签。</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14.不乱摆放工具，不乱丢杂物，完成竞赛任务后清洁赛位、工具、线头、废弃物品等，不得遗留在赛位上。</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15.竞赛结束后参赛选手应到指定地点等候，待裁判员允许后方可离开。</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16.文明用语，尊重裁判和其他选手，不得辱骂裁判和赛场工作人员，不得打架斗殴。</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17.任何人不得以任何方式暗示、指导、帮助参赛选手，对造成后果的，视情节轻重酌情扣除参赛选手成绩。</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18.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19.裁判长在比赛结束前15分钟提醒选手，裁判长发布比赛结束指令后所有参赛队立即停止操作，按要求清理赛位，不得以任何理由拖延竞赛时间。</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20.参赛选手不得将竞赛任务书、图纸、草稿纸和工具等与比赛有关的物品带离赛场，选手必须经现场裁判员检查许可后方能离开赛场。</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21.参赛队需按照竞赛要求提交竞赛结果，裁判员与参赛选手一起签字确认。</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（三）成绩评定及公布</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1.组织分工</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在赛项执委会的领导下成立由检录组、裁判组和仲裁组组成的成绩管理组织机构。具体要求与分工如下：</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（1）检录工作人员负责对参赛队伍（选手）进行点名登记、身份核对等工作。</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（2）裁判组实行“裁判长负责制”。设裁判长1名，全面负责赛项的裁判管理工作并处理比赛中出现的争议问题。</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3）裁判员分为加密裁判、现场裁判和评分裁判。加密裁判负责组织参赛队伍（选手）抽签，对参赛队信息、抽签代码等进行加密，不参与评分工作；现场裁判按规定做赛场记录，维护赛场纪律，评定参赛队的职业素养得分；评分裁判负责对参赛队伍（选手）提交竞赛作品及现场裁判提交记录内容及数据进行评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（4）仲裁组负责接受由参赛队领队提出的对裁判结果的申诉，组织复议并及时反馈复议结果。</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2.成绩评分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（1）现场评分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现场裁判依据现场记录表格，对参赛队的操作规范、现场表现等进行记录。对职业素养项依据选手表现进行评分。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（2）过程评分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根据参赛选手在分步操作过程中的规范性、合理性以及完成质量等，评分裁判依据评分标准和现场裁判提交记录内容及数据按步给分。</w:t>
      </w:r>
    </w:p>
    <w:p>
      <w:pPr>
        <w:pStyle w:val="2"/>
        <w:spacing w:line="540" w:lineRule="exact"/>
        <w:ind w:firstLine="585"/>
        <w:rPr>
          <w:rFonts w:hint="eastAsia" w:ascii="Arial Narrow" w:hAnsi="Arial Narrow" w:eastAsia="仿宋_GB2312" w:cs="Arial"/>
          <w:color w:val="000000"/>
          <w:sz w:val="30"/>
          <w:szCs w:val="30"/>
        </w:rPr>
      </w:pPr>
      <w:r>
        <w:rPr>
          <w:rFonts w:hint="eastAsia" w:ascii="Arial Narrow" w:hAnsi="Arial Narrow" w:eastAsia="仿宋_GB2312" w:cs="Arial"/>
          <w:color w:val="000000"/>
          <w:sz w:val="30"/>
          <w:szCs w:val="30"/>
        </w:rPr>
        <w:t>（3）抽检复核</w:t>
      </w:r>
    </w:p>
    <w:p>
      <w:pPr>
        <w:pStyle w:val="2"/>
        <w:spacing w:line="540" w:lineRule="exact"/>
        <w:ind w:firstLine="585"/>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为保障成绩统计的准确性，执委会对赛项总成绩进行抽检复核。错误率超过5%的，则认定为非小概率事件，裁判组须对所有成绩进行复核。</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六、技术规范</w:t>
      </w:r>
    </w:p>
    <w:p>
      <w:pPr>
        <w:snapToGrid w:val="0"/>
        <w:spacing w:line="540" w:lineRule="exact"/>
        <w:ind w:firstLine="600" w:firstLineChars="200"/>
        <w:rPr>
          <w:rFonts w:ascii="Times New Roman" w:hAnsi="Times New Roman" w:eastAsia="楷体"/>
          <w:sz w:val="30"/>
          <w:szCs w:val="30"/>
        </w:rPr>
      </w:pPr>
      <w:r>
        <w:rPr>
          <w:rFonts w:ascii="Times New Roman" w:hAnsi="Times New Roman" w:eastAsia="楷体"/>
          <w:sz w:val="30"/>
          <w:szCs w:val="30"/>
        </w:rPr>
        <w:t>（一）职业道德</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1.敬业爱岗，忠于职守，严于律已。</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2.刻苦学习，钻研业务，善于观察，勤于思考。</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3.认真负责，吃苦耐劳。</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4.遵守操作规程，安全、文明生产。</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5.着装规范整洁，爱护设备，保持工作环境清洁有序。</w:t>
      </w:r>
    </w:p>
    <w:p>
      <w:pPr>
        <w:snapToGrid w:val="0"/>
        <w:spacing w:line="540" w:lineRule="exact"/>
        <w:ind w:firstLine="600" w:firstLineChars="200"/>
        <w:rPr>
          <w:rFonts w:ascii="Times New Roman" w:hAnsi="Times New Roman" w:eastAsia="楷体"/>
          <w:sz w:val="30"/>
          <w:szCs w:val="30"/>
        </w:rPr>
      </w:pPr>
      <w:r>
        <w:rPr>
          <w:rFonts w:ascii="Times New Roman" w:hAnsi="Times New Roman" w:eastAsia="楷体"/>
          <w:sz w:val="30"/>
          <w:szCs w:val="30"/>
        </w:rPr>
        <w:t>（二）职业标准</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参考相关职业标准和技术标准</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1.技术制图通用术语GB/T 13361-2012</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2.机械产品三维建模通用规则GB/T 26099.3-2010</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3.轻工机械通用技术条件GB/T 14253-1993</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4.机械制造工艺基本术语GB 4863-1985</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5.金属切削机床JB/T9872-1999</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6.电气设备用图形符号GB/T 5465.2-1996</w:t>
      </w:r>
    </w:p>
    <w:p>
      <w:pPr>
        <w:snapToGrid w:val="0"/>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7.机械安全机械电气设备 第1部分  GB 5226.1-2002</w:t>
      </w:r>
    </w:p>
    <w:p>
      <w:pPr>
        <w:snapToGrid w:val="0"/>
        <w:spacing w:line="560" w:lineRule="exact"/>
        <w:ind w:firstLine="600" w:firstLineChars="200"/>
        <w:rPr>
          <w:rFonts w:ascii="Times New Roman" w:hAnsi="Times New Roman" w:eastAsia="仿宋_GB2312"/>
          <w:sz w:val="30"/>
          <w:szCs w:val="30"/>
        </w:rPr>
      </w:pPr>
      <w:r>
        <w:rPr>
          <w:rFonts w:hint="eastAsia" w:ascii="Times New Roman" w:hAnsi="Times New Roman" w:eastAsia="仿宋_GB2312"/>
          <w:sz w:val="30"/>
          <w:szCs w:val="30"/>
          <w:lang w:val="en-US" w:eastAsia="zh-CN"/>
        </w:rPr>
        <w:t>8</w:t>
      </w:r>
      <w:r>
        <w:rPr>
          <w:rFonts w:ascii="Times New Roman" w:hAnsi="Times New Roman" w:eastAsia="仿宋_GB2312"/>
          <w:sz w:val="30"/>
          <w:szCs w:val="30"/>
        </w:rPr>
        <w:t>.世界技能大赛机电一体化项目专业技术规范</w:t>
      </w:r>
    </w:p>
    <w:p>
      <w:pPr>
        <w:snapToGrid w:val="0"/>
        <w:spacing w:line="540" w:lineRule="exact"/>
        <w:ind w:firstLine="600" w:firstLineChars="200"/>
        <w:rPr>
          <w:rFonts w:ascii="Times New Roman" w:hAnsi="Times New Roman" w:eastAsia="楷体"/>
          <w:sz w:val="30"/>
          <w:szCs w:val="30"/>
        </w:rPr>
      </w:pPr>
      <w:r>
        <w:rPr>
          <w:rFonts w:ascii="Times New Roman" w:hAnsi="Times New Roman" w:eastAsia="楷体"/>
          <w:sz w:val="30"/>
          <w:szCs w:val="30"/>
        </w:rPr>
        <w:t>（三）相关知识与技能</w:t>
      </w:r>
    </w:p>
    <w:p>
      <w:pPr>
        <w:snapToGrid w:val="0"/>
        <w:spacing w:line="560" w:lineRule="exact"/>
        <w:ind w:firstLine="600" w:firstLineChars="200"/>
        <w:rPr>
          <w:rFonts w:hint="eastAsia" w:ascii="Times New Roman" w:hAnsi="Times New Roman" w:eastAsia="仿宋_GB2312"/>
          <w:sz w:val="30"/>
          <w:szCs w:val="30"/>
          <w:lang w:eastAsia="zh-CN"/>
        </w:rPr>
      </w:pPr>
      <w:r>
        <w:rPr>
          <w:rFonts w:ascii="Times New Roman" w:hAnsi="Times New Roman" w:eastAsia="仿宋_GB2312"/>
          <w:sz w:val="30"/>
          <w:szCs w:val="30"/>
        </w:rPr>
        <w:t>1.</w:t>
      </w:r>
      <w:r>
        <w:rPr>
          <w:rFonts w:hint="eastAsia" w:ascii="Times New Roman" w:hAnsi="Times New Roman" w:eastAsia="仿宋_GB2312"/>
          <w:sz w:val="30"/>
          <w:szCs w:val="30"/>
          <w:lang w:eastAsia="zh-CN"/>
        </w:rPr>
        <w:t>三维软件应用</w:t>
      </w:r>
    </w:p>
    <w:p>
      <w:pPr>
        <w:snapToGrid w:val="0"/>
        <w:spacing w:line="560" w:lineRule="exact"/>
        <w:ind w:firstLine="600" w:firstLineChars="200"/>
        <w:rPr>
          <w:rFonts w:hint="default" w:ascii="Times New Roman" w:hAnsi="Times New Roman" w:eastAsia="仿宋_GB2312"/>
          <w:sz w:val="30"/>
          <w:szCs w:val="30"/>
          <w:lang w:val="en-US" w:eastAsia="zh-CN"/>
        </w:rPr>
      </w:pPr>
      <w:r>
        <w:rPr>
          <w:rFonts w:ascii="Times New Roman" w:hAnsi="Times New Roman" w:eastAsia="仿宋_GB2312"/>
          <w:sz w:val="30"/>
          <w:szCs w:val="30"/>
        </w:rPr>
        <w:t>2.</w:t>
      </w:r>
      <w:r>
        <w:rPr>
          <w:rFonts w:hint="eastAsia" w:ascii="Times New Roman" w:hAnsi="Times New Roman" w:eastAsia="仿宋_GB2312"/>
          <w:sz w:val="30"/>
          <w:szCs w:val="30"/>
          <w:lang w:eastAsia="zh-CN"/>
        </w:rPr>
        <w:t>工业</w:t>
      </w:r>
      <w:r>
        <w:rPr>
          <w:rFonts w:hint="eastAsia" w:ascii="Times New Roman" w:hAnsi="Times New Roman" w:eastAsia="仿宋_GB2312"/>
          <w:sz w:val="30"/>
          <w:szCs w:val="30"/>
          <w:lang w:val="en-US" w:eastAsia="zh-CN"/>
        </w:rPr>
        <w:t>3D打印设备操作</w:t>
      </w:r>
    </w:p>
    <w:p>
      <w:pPr>
        <w:snapToGrid w:val="0"/>
        <w:spacing w:line="560" w:lineRule="exact"/>
        <w:ind w:firstLine="600" w:firstLineChars="200"/>
        <w:rPr>
          <w:rFonts w:hint="default" w:ascii="Times New Roman" w:hAnsi="Times New Roman" w:eastAsia="仿宋_GB2312"/>
          <w:sz w:val="30"/>
          <w:szCs w:val="30"/>
          <w:lang w:val="en-US" w:eastAsia="zh-CN"/>
        </w:rPr>
      </w:pPr>
      <w:r>
        <w:rPr>
          <w:rFonts w:ascii="Times New Roman" w:hAnsi="Times New Roman" w:eastAsia="仿宋_GB2312"/>
          <w:sz w:val="30"/>
          <w:szCs w:val="30"/>
        </w:rPr>
        <w:t>3.</w:t>
      </w:r>
      <w:r>
        <w:rPr>
          <w:rFonts w:hint="eastAsia" w:ascii="Times New Roman" w:hAnsi="Times New Roman" w:eastAsia="仿宋_GB2312"/>
          <w:sz w:val="30"/>
          <w:szCs w:val="30"/>
          <w:lang w:val="en-US" w:eastAsia="zh-CN"/>
        </w:rPr>
        <w:t>3D打印后处理</w:t>
      </w:r>
    </w:p>
    <w:p>
      <w:pPr>
        <w:snapToGrid w:val="0"/>
        <w:spacing w:line="560" w:lineRule="exact"/>
        <w:ind w:firstLine="600" w:firstLineChars="200"/>
        <w:rPr>
          <w:rFonts w:hint="default" w:ascii="Times New Roman" w:hAnsi="Times New Roman" w:eastAsia="仿宋_GB2312"/>
          <w:sz w:val="30"/>
          <w:szCs w:val="30"/>
          <w:lang w:val="en-US" w:eastAsia="zh-CN"/>
        </w:rPr>
      </w:pPr>
      <w:r>
        <w:rPr>
          <w:rFonts w:ascii="Times New Roman" w:hAnsi="Times New Roman" w:eastAsia="仿宋_GB2312"/>
          <w:sz w:val="30"/>
          <w:szCs w:val="30"/>
        </w:rPr>
        <w:t>4.</w:t>
      </w:r>
      <w:r>
        <w:rPr>
          <w:rFonts w:hint="eastAsia" w:ascii="Times New Roman" w:hAnsi="Times New Roman" w:eastAsia="仿宋_GB2312"/>
          <w:sz w:val="30"/>
          <w:szCs w:val="30"/>
          <w:lang w:eastAsia="zh-CN"/>
        </w:rPr>
        <w:t>语言表达能力及</w:t>
      </w:r>
      <w:r>
        <w:rPr>
          <w:rFonts w:hint="eastAsia" w:ascii="Times New Roman" w:hAnsi="Times New Roman" w:eastAsia="仿宋_GB2312"/>
          <w:sz w:val="30"/>
          <w:szCs w:val="30"/>
          <w:lang w:val="en-US" w:eastAsia="zh-CN"/>
        </w:rPr>
        <w:t>PPT制作能力</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七、技术平台</w:t>
      </w:r>
    </w:p>
    <w:p>
      <w:pPr>
        <w:ind w:firstLine="560" w:firstLineChars="200"/>
        <w:rPr>
          <w:rFonts w:ascii="宋体" w:hAnsi="宋体" w:eastAsia="宋体" w:cs="宋体"/>
          <w:sz w:val="28"/>
          <w:szCs w:val="28"/>
          <w:lang w:eastAsia="zh-CN"/>
        </w:rPr>
      </w:pPr>
      <w:r>
        <w:rPr>
          <w:rFonts w:hint="eastAsia" w:ascii="宋体" w:hAnsi="宋体" w:eastAsia="宋体" w:cs="宋体"/>
          <w:sz w:val="28"/>
          <w:szCs w:val="28"/>
          <w:lang w:eastAsia="zh-CN"/>
        </w:rPr>
        <w:t>（一）软件平台</w:t>
      </w:r>
    </w:p>
    <w:p>
      <w:pPr>
        <w:snapToGrid w:val="0"/>
        <w:spacing w:line="560" w:lineRule="exact"/>
        <w:ind w:firstLine="600" w:firstLineChars="200"/>
        <w:rPr>
          <w:rFonts w:ascii="Times New Roman" w:hAnsi="Times New Roman" w:eastAsia="仿宋_GB2312"/>
          <w:sz w:val="30"/>
          <w:szCs w:val="30"/>
          <w:lang w:eastAsia="zh-CN"/>
        </w:rPr>
      </w:pPr>
      <w:r>
        <w:rPr>
          <w:rFonts w:hint="eastAsia" w:ascii="Times New Roman" w:hAnsi="Times New Roman" w:eastAsia="仿宋_GB2312"/>
          <w:sz w:val="30"/>
          <w:szCs w:val="30"/>
          <w:lang w:eastAsia="zh-CN"/>
        </w:rPr>
        <w:t>1.操作系统：MS-Windows 7；</w:t>
      </w:r>
    </w:p>
    <w:p>
      <w:pPr>
        <w:snapToGrid w:val="0"/>
        <w:spacing w:line="560" w:lineRule="exact"/>
        <w:ind w:firstLine="600" w:firstLineChars="200"/>
        <w:rPr>
          <w:rFonts w:ascii="Times New Roman" w:hAnsi="Times New Roman" w:eastAsia="仿宋_GB2312"/>
          <w:sz w:val="30"/>
          <w:szCs w:val="30"/>
        </w:rPr>
      </w:pPr>
      <w:r>
        <w:rPr>
          <w:rFonts w:hint="eastAsia" w:ascii="Times New Roman" w:hAnsi="Times New Roman" w:eastAsia="仿宋_GB2312"/>
          <w:sz w:val="30"/>
          <w:szCs w:val="30"/>
          <w:lang w:eastAsia="zh-CN"/>
        </w:rPr>
        <w:t>2.文字处理软件：MS-Office 2010及以上版本，</w:t>
      </w:r>
      <w:r>
        <w:rPr>
          <w:rFonts w:hint="eastAsia" w:ascii="Times New Roman" w:hAnsi="Times New Roman" w:eastAsia="仿宋_GB2312"/>
          <w:sz w:val="30"/>
          <w:szCs w:val="30"/>
        </w:rPr>
        <w:t>搜狗拼音、搜狗五笔输入法。</w:t>
      </w:r>
    </w:p>
    <w:p>
      <w:pPr>
        <w:snapToGrid w:val="0"/>
        <w:spacing w:line="560" w:lineRule="exact"/>
        <w:ind w:firstLine="600" w:firstLineChars="200"/>
        <w:rPr>
          <w:rFonts w:ascii="Times New Roman" w:hAnsi="Times New Roman" w:eastAsia="仿宋_GB2312"/>
          <w:sz w:val="30"/>
          <w:szCs w:val="30"/>
          <w:lang w:eastAsia="zh-CN"/>
        </w:rPr>
      </w:pPr>
      <w:r>
        <w:rPr>
          <w:rFonts w:hint="eastAsia" w:ascii="Times New Roman" w:hAnsi="Times New Roman" w:eastAsia="仿宋_GB2312"/>
          <w:sz w:val="30"/>
          <w:szCs w:val="30"/>
          <w:lang w:eastAsia="zh-CN"/>
        </w:rPr>
        <w:t xml:space="preserve">3.数据处理软件： </w:t>
      </w:r>
      <w:r>
        <w:rPr>
          <w:rFonts w:hint="eastAsia" w:ascii="Times New Roman" w:hAnsi="Times New Roman" w:eastAsia="仿宋_GB2312"/>
          <w:sz w:val="30"/>
          <w:szCs w:val="30"/>
          <w:lang w:val="en-US" w:eastAsia="zh-CN"/>
        </w:rPr>
        <w:t>RP</w:t>
      </w:r>
      <w:r>
        <w:rPr>
          <w:rFonts w:hint="eastAsia" w:ascii="Times New Roman" w:hAnsi="Times New Roman" w:eastAsia="仿宋_GB2312"/>
          <w:sz w:val="30"/>
          <w:szCs w:val="30"/>
          <w:lang w:eastAsia="zh-CN"/>
        </w:rPr>
        <w:t>data</w:t>
      </w:r>
      <w:r>
        <w:rPr>
          <w:rFonts w:hint="eastAsia" w:ascii="Times New Roman" w:hAnsi="Times New Roman" w:eastAsia="仿宋_GB2312"/>
          <w:sz w:val="30"/>
          <w:szCs w:val="30"/>
          <w:lang w:val="en-US" w:eastAsia="zh-CN"/>
        </w:rPr>
        <w:t xml:space="preserve"> 10.6</w:t>
      </w:r>
      <w:r>
        <w:rPr>
          <w:rFonts w:hint="eastAsia" w:ascii="Times New Roman" w:hAnsi="Times New Roman" w:eastAsia="仿宋_GB2312"/>
          <w:sz w:val="30"/>
          <w:szCs w:val="30"/>
          <w:lang w:eastAsia="zh-CN"/>
        </w:rPr>
        <w:t>及以上版本。</w:t>
      </w:r>
    </w:p>
    <w:p>
      <w:pPr>
        <w:snapToGrid w:val="0"/>
        <w:spacing w:line="560" w:lineRule="exact"/>
        <w:ind w:firstLine="600" w:firstLineChars="200"/>
        <w:rPr>
          <w:rFonts w:ascii="Times New Roman" w:hAnsi="Times New Roman" w:eastAsia="仿宋_GB2312"/>
          <w:sz w:val="30"/>
          <w:szCs w:val="30"/>
          <w:lang w:eastAsia="zh-CN"/>
        </w:rPr>
      </w:pPr>
      <w:r>
        <w:rPr>
          <w:rFonts w:hint="eastAsia" w:ascii="Times New Roman" w:hAnsi="Times New Roman" w:eastAsia="仿宋_GB2312"/>
          <w:sz w:val="30"/>
          <w:szCs w:val="30"/>
          <w:lang w:eastAsia="zh-CN"/>
        </w:rPr>
        <w:t>4.产品设计软件：本次赛项不对设计软件进行限制，比赛选手自行选择。（比赛推荐使用软件：中望3D</w:t>
      </w:r>
      <w:r>
        <w:rPr>
          <w:rFonts w:hint="eastAsia" w:ascii="Times New Roman" w:hAnsi="Times New Roman" w:eastAsia="仿宋_GB2312"/>
          <w:sz w:val="30"/>
          <w:szCs w:val="30"/>
          <w:lang w:val="en-US" w:eastAsia="zh-CN"/>
        </w:rPr>
        <w:t xml:space="preserve"> </w:t>
      </w:r>
      <w:r>
        <w:rPr>
          <w:rFonts w:hint="eastAsia" w:ascii="Times New Roman" w:hAnsi="Times New Roman" w:eastAsia="仿宋_GB2312"/>
          <w:sz w:val="30"/>
          <w:szCs w:val="30"/>
          <w:lang w:eastAsia="zh-CN"/>
        </w:rPr>
        <w:t>201</w:t>
      </w:r>
      <w:r>
        <w:rPr>
          <w:rFonts w:hint="eastAsia" w:ascii="Times New Roman" w:hAnsi="Times New Roman" w:eastAsia="仿宋_GB2312"/>
          <w:sz w:val="30"/>
          <w:szCs w:val="30"/>
          <w:lang w:val="en-US" w:eastAsia="zh-CN"/>
        </w:rPr>
        <w:t>9</w:t>
      </w:r>
      <w:r>
        <w:rPr>
          <w:rFonts w:hint="eastAsia" w:ascii="Times New Roman" w:hAnsi="Times New Roman" w:eastAsia="仿宋_GB2312"/>
          <w:sz w:val="30"/>
          <w:szCs w:val="30"/>
          <w:lang w:eastAsia="zh-CN"/>
        </w:rPr>
        <w:t>教育版、Inventor 201</w:t>
      </w:r>
      <w:r>
        <w:rPr>
          <w:rFonts w:hint="eastAsia" w:ascii="Times New Roman" w:hAnsi="Times New Roman" w:eastAsia="仿宋_GB2312"/>
          <w:sz w:val="30"/>
          <w:szCs w:val="30"/>
          <w:lang w:val="en-US" w:eastAsia="zh-CN"/>
        </w:rPr>
        <w:t>9</w:t>
      </w:r>
      <w:r>
        <w:rPr>
          <w:rFonts w:hint="eastAsia" w:ascii="Times New Roman" w:hAnsi="Times New Roman" w:eastAsia="仿宋_GB2312"/>
          <w:sz w:val="30"/>
          <w:szCs w:val="30"/>
          <w:lang w:eastAsia="zh-CN"/>
        </w:rPr>
        <w:t>、NX1</w:t>
      </w:r>
      <w:r>
        <w:rPr>
          <w:rFonts w:hint="eastAsia" w:ascii="Times New Roman" w:hAnsi="Times New Roman" w:eastAsia="仿宋_GB2312"/>
          <w:sz w:val="30"/>
          <w:szCs w:val="30"/>
          <w:lang w:val="en-US" w:eastAsia="zh-CN"/>
        </w:rPr>
        <w:t>2</w:t>
      </w:r>
      <w:r>
        <w:rPr>
          <w:rFonts w:hint="eastAsia" w:ascii="Times New Roman" w:hAnsi="Times New Roman" w:eastAsia="仿宋_GB2312"/>
          <w:sz w:val="30"/>
          <w:szCs w:val="30"/>
          <w:lang w:eastAsia="zh-CN"/>
        </w:rPr>
        <w:t>.0教育版、Croe3.0。若学校使用软件不在推荐软件之内，则需要选手自带软件及授权，提前至比赛现场安装至现场电脑。并附软件正版授权。）</w:t>
      </w:r>
    </w:p>
    <w:p>
      <w:pPr>
        <w:ind w:firstLine="560" w:firstLineChars="200"/>
        <w:rPr>
          <w:rFonts w:ascii="宋体" w:hAnsi="宋体" w:eastAsia="宋体" w:cs="宋体"/>
          <w:sz w:val="28"/>
          <w:szCs w:val="28"/>
          <w:lang w:eastAsia="zh-CN"/>
        </w:rPr>
      </w:pPr>
      <w:r>
        <w:rPr>
          <w:rFonts w:hint="eastAsia" w:ascii="宋体" w:hAnsi="宋体" w:eastAsia="宋体" w:cs="宋体"/>
          <w:sz w:val="28"/>
          <w:szCs w:val="28"/>
          <w:lang w:eastAsia="zh-CN"/>
        </w:rPr>
        <w:t>（二）设备器材</w:t>
      </w:r>
    </w:p>
    <w:p>
      <w:pPr>
        <w:snapToGrid w:val="0"/>
        <w:spacing w:line="560" w:lineRule="exact"/>
        <w:ind w:firstLine="600" w:firstLineChars="200"/>
        <w:rPr>
          <w:rFonts w:hint="eastAsia" w:ascii="Times New Roman" w:hAnsi="Times New Roman" w:eastAsia="仿宋_GB2312"/>
          <w:sz w:val="30"/>
          <w:szCs w:val="30"/>
          <w:lang w:eastAsia="zh-CN"/>
        </w:rPr>
      </w:pPr>
      <w:r>
        <w:rPr>
          <w:rFonts w:hint="eastAsia" w:ascii="Times New Roman" w:hAnsi="Times New Roman" w:eastAsia="仿宋_GB2312"/>
          <w:sz w:val="30"/>
          <w:szCs w:val="30"/>
          <w:lang w:eastAsia="zh-CN"/>
        </w:rPr>
        <w:t>1.赛场提供统一品牌计算机。基本配置为：四核处理器/</w:t>
      </w:r>
      <w:r>
        <w:rPr>
          <w:rFonts w:hint="eastAsia" w:ascii="Times New Roman" w:hAnsi="Times New Roman" w:eastAsia="仿宋_GB2312"/>
          <w:sz w:val="30"/>
          <w:szCs w:val="30"/>
          <w:lang w:val="en-US" w:eastAsia="zh-CN"/>
        </w:rPr>
        <w:t>8</w:t>
      </w:r>
      <w:r>
        <w:rPr>
          <w:rFonts w:hint="eastAsia" w:ascii="Times New Roman" w:hAnsi="Times New Roman" w:eastAsia="仿宋_GB2312"/>
          <w:sz w:val="30"/>
          <w:szCs w:val="30"/>
          <w:lang w:eastAsia="zh-CN"/>
        </w:rPr>
        <w:t>G内存/1T硬盘/</w:t>
      </w:r>
      <w:r>
        <w:rPr>
          <w:rFonts w:hint="eastAsia" w:ascii="Times New Roman" w:hAnsi="Times New Roman" w:eastAsia="仿宋_GB2312"/>
          <w:sz w:val="30"/>
          <w:szCs w:val="30"/>
          <w:lang w:val="en-US" w:eastAsia="zh-CN"/>
        </w:rPr>
        <w:t>2</w:t>
      </w:r>
      <w:r>
        <w:rPr>
          <w:rFonts w:hint="eastAsia" w:ascii="Times New Roman" w:hAnsi="Times New Roman" w:eastAsia="仿宋_GB2312"/>
          <w:sz w:val="30"/>
          <w:szCs w:val="30"/>
          <w:lang w:eastAsia="zh-CN"/>
        </w:rPr>
        <w:t>G独显/</w:t>
      </w:r>
      <w:r>
        <w:rPr>
          <w:rFonts w:hint="eastAsia" w:ascii="Times New Roman" w:hAnsi="Times New Roman" w:eastAsia="仿宋_GB2312"/>
          <w:sz w:val="30"/>
          <w:szCs w:val="30"/>
          <w:lang w:val="en-US" w:eastAsia="zh-CN"/>
        </w:rPr>
        <w:t>23.1英</w:t>
      </w:r>
      <w:r>
        <w:rPr>
          <w:rFonts w:hint="eastAsia" w:ascii="Times New Roman" w:hAnsi="Times New Roman" w:eastAsia="仿宋_GB2312"/>
          <w:sz w:val="30"/>
          <w:szCs w:val="30"/>
          <w:lang w:eastAsia="zh-CN"/>
        </w:rPr>
        <w:t>寸LED显示器。</w:t>
      </w:r>
    </w:p>
    <w:p>
      <w:pPr>
        <w:spacing w:beforeLines="50"/>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2.比赛用光固化SPS250 3D打印机主要参数</w:t>
      </w:r>
    </w:p>
    <w:tbl>
      <w:tblPr>
        <w:tblStyle w:val="5"/>
        <w:tblW w:w="8258" w:type="dxa"/>
        <w:jc w:val="center"/>
        <w:tblLayout w:type="fixed"/>
        <w:tblCellMar>
          <w:top w:w="15" w:type="dxa"/>
          <w:left w:w="15" w:type="dxa"/>
          <w:bottom w:w="15" w:type="dxa"/>
          <w:right w:w="15" w:type="dxa"/>
        </w:tblCellMar>
      </w:tblPr>
      <w:tblGrid>
        <w:gridCol w:w="2250"/>
        <w:gridCol w:w="6008"/>
      </w:tblGrid>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30"/>
                <w:szCs w:val="30"/>
                <w:lang w:eastAsia="zh-CN"/>
              </w:rPr>
            </w:pPr>
            <w:r>
              <w:rPr>
                <w:rFonts w:hint="eastAsia" w:ascii="仿宋_GB2312" w:hAnsi="宋体" w:eastAsia="仿宋_GB2312"/>
                <w:b/>
                <w:bCs/>
                <w:sz w:val="30"/>
                <w:szCs w:val="30"/>
                <w:lang w:eastAsia="zh-CN"/>
              </w:rPr>
              <w:t>项目</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30"/>
                <w:szCs w:val="30"/>
                <w:lang w:eastAsia="zh-CN"/>
              </w:rPr>
            </w:pPr>
            <w:r>
              <w:rPr>
                <w:rFonts w:hint="eastAsia" w:ascii="仿宋_GB2312" w:hAnsi="宋体" w:eastAsia="仿宋_GB2312"/>
                <w:b/>
                <w:bCs/>
                <w:sz w:val="30"/>
                <w:szCs w:val="30"/>
                <w:lang w:eastAsia="zh-CN"/>
              </w:rPr>
              <w:t>技术参数</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产品型号</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lang w:eastAsia="zh-CN"/>
              </w:rPr>
            </w:pPr>
            <w:r>
              <w:rPr>
                <w:rFonts w:hint="eastAsia" w:ascii="仿宋_GB2312" w:hAnsi="宋体" w:eastAsia="仿宋_GB2312"/>
                <w:sz w:val="24"/>
                <w:szCs w:val="24"/>
                <w:lang w:eastAsia="zh-CN"/>
              </w:rPr>
              <w:t>SPS250</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技术原理</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光固化</w:t>
            </w:r>
            <w:r>
              <w:rPr>
                <w:rFonts w:hint="eastAsia" w:ascii="仿宋_GB2312" w:hAnsi="宋体" w:eastAsia="仿宋_GB2312"/>
                <w:sz w:val="24"/>
                <w:szCs w:val="24"/>
                <w:lang w:eastAsia="zh-CN"/>
              </w:rPr>
              <w:t>快速成型机</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最大扫描速度</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10m/s</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最大打印速度</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80g/h</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焦平面光斑直径</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 0.18mm</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最大成形尺寸</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250</w:t>
            </w:r>
            <w:r>
              <w:rPr>
                <w:rFonts w:hint="eastAsia" w:ascii="仿宋_GB2312" w:hAnsi="宋体" w:eastAsia="仿宋_GB2312"/>
                <w:sz w:val="24"/>
                <w:szCs w:val="24"/>
                <w:lang w:eastAsia="zh-CN"/>
              </w:rPr>
              <w:t>mm</w:t>
            </w:r>
            <w:r>
              <w:rPr>
                <w:rFonts w:hint="eastAsia" w:ascii="仿宋_GB2312" w:hAnsi="宋体" w:eastAsia="仿宋_GB2312"/>
                <w:sz w:val="24"/>
                <w:szCs w:val="24"/>
              </w:rPr>
              <w:t>X250</w:t>
            </w:r>
            <w:r>
              <w:rPr>
                <w:rFonts w:hint="eastAsia" w:ascii="仿宋_GB2312" w:hAnsi="宋体" w:eastAsia="仿宋_GB2312"/>
                <w:sz w:val="24"/>
                <w:szCs w:val="24"/>
                <w:lang w:eastAsia="zh-CN"/>
              </w:rPr>
              <w:t>mm</w:t>
            </w:r>
            <w:r>
              <w:rPr>
                <w:rFonts w:hint="eastAsia" w:ascii="仿宋_GB2312" w:hAnsi="宋体" w:eastAsia="仿宋_GB2312"/>
                <w:sz w:val="24"/>
                <w:szCs w:val="24"/>
              </w:rPr>
              <w:t>X150mm (H)</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精度</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±0.1mm(L≤100mm)or±0.1% *L(L&gt;100mm)</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层厚</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 xml:space="preserve">0.05 mm </w:t>
            </w:r>
            <w:r>
              <w:rPr>
                <w:rFonts w:hint="eastAsia" w:ascii="仿宋_GB2312" w:hAnsi="宋体" w:eastAsia="仿宋_GB2312"/>
                <w:sz w:val="24"/>
                <w:szCs w:val="24"/>
                <w:lang w:eastAsia="zh-CN"/>
              </w:rPr>
              <w:t>-</w:t>
            </w:r>
            <w:r>
              <w:rPr>
                <w:rFonts w:hint="eastAsia" w:ascii="仿宋_GB2312" w:hAnsi="宋体" w:eastAsia="仿宋_GB2312"/>
                <w:sz w:val="24"/>
                <w:szCs w:val="24"/>
              </w:rPr>
              <w:t xml:space="preserve"> 0.2 mm</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外形尺寸</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1255x830x1675(mm)</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功率</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2.5kw</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软件</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RPmanager/Win7</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材料</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光敏树脂</w:t>
            </w:r>
          </w:p>
        </w:tc>
      </w:tr>
      <w:tr>
        <w:tblPrEx>
          <w:tblCellMar>
            <w:top w:w="15" w:type="dxa"/>
            <w:left w:w="15" w:type="dxa"/>
            <w:bottom w:w="15" w:type="dxa"/>
            <w:right w:w="15" w:type="dxa"/>
          </w:tblCellMar>
        </w:tblPrEx>
        <w:trPr>
          <w:trHeight w:val="397" w:hRule="atLeast"/>
          <w:jc w:val="center"/>
        </w:trPr>
        <w:tc>
          <w:tcPr>
            <w:tcW w:w="2250"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通用性要求</w:t>
            </w:r>
          </w:p>
        </w:tc>
        <w:tc>
          <w:tcPr>
            <w:tcW w:w="6008"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支持的系统：Windows7, 8, 10，</w:t>
            </w:r>
          </w:p>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rPr>
              <w:t>支持的文件类型：STL</w:t>
            </w:r>
          </w:p>
        </w:tc>
      </w:tr>
    </w:tbl>
    <w:p>
      <w:pPr>
        <w:spacing w:beforeLines="50"/>
        <w:ind w:firstLine="560" w:firstLineChars="200"/>
        <w:rPr>
          <w:rFonts w:ascii="宋体" w:hAnsi="宋体" w:eastAsia="宋体" w:cs="宋体"/>
          <w:sz w:val="28"/>
          <w:szCs w:val="28"/>
          <w:lang w:eastAsia="zh-CN"/>
        </w:rPr>
      </w:pPr>
      <w:r>
        <w:rPr>
          <w:rFonts w:hint="eastAsia" w:ascii="宋体" w:hAnsi="宋体" w:eastAsia="宋体" w:cs="宋体"/>
          <w:sz w:val="28"/>
          <w:szCs w:val="28"/>
          <w:lang w:eastAsia="zh-CN"/>
        </w:rPr>
        <w:t>3.比赛用桌面N750 3D打印机主要参数</w:t>
      </w:r>
    </w:p>
    <w:tbl>
      <w:tblPr>
        <w:tblStyle w:val="5"/>
        <w:tblW w:w="8278" w:type="dxa"/>
        <w:jc w:val="center"/>
        <w:tblLayout w:type="fixed"/>
        <w:tblCellMar>
          <w:top w:w="15" w:type="dxa"/>
          <w:left w:w="15" w:type="dxa"/>
          <w:bottom w:w="15" w:type="dxa"/>
          <w:right w:w="15" w:type="dxa"/>
        </w:tblCellMar>
      </w:tblPr>
      <w:tblGrid>
        <w:gridCol w:w="2661"/>
        <w:gridCol w:w="5617"/>
      </w:tblGrid>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b/>
                <w:bCs/>
                <w:sz w:val="30"/>
                <w:szCs w:val="30"/>
              </w:rPr>
            </w:pPr>
            <w:r>
              <w:rPr>
                <w:rFonts w:hint="eastAsia" w:ascii="仿宋_GB2312" w:hAnsi="宋体" w:eastAsia="仿宋_GB2312"/>
                <w:b/>
                <w:bCs/>
                <w:sz w:val="30"/>
                <w:szCs w:val="30"/>
                <w:lang w:eastAsia="zh-CN"/>
              </w:rPr>
              <w:t>产品型号</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b/>
                <w:bCs/>
                <w:sz w:val="30"/>
                <w:szCs w:val="30"/>
              </w:rPr>
            </w:pPr>
            <w:r>
              <w:rPr>
                <w:rFonts w:hint="eastAsia" w:ascii="宋体" w:hAnsi="宋体" w:eastAsia="宋体" w:cs="宋体"/>
                <w:b/>
                <w:bCs/>
                <w:sz w:val="28"/>
                <w:szCs w:val="28"/>
                <w:lang w:eastAsia="zh-CN"/>
              </w:rPr>
              <w:t>N750</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产品类型</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lang w:eastAsia="zh-CN"/>
              </w:rPr>
            </w:pPr>
            <w:r>
              <w:rPr>
                <w:rFonts w:hint="eastAsia" w:ascii="仿宋_GB2312" w:hAnsi="宋体" w:eastAsia="仿宋_GB2312"/>
                <w:sz w:val="24"/>
                <w:szCs w:val="24"/>
                <w:lang w:eastAsia="zh-CN"/>
              </w:rPr>
              <w:t>Delta并联臂式（笛卡尔斜角坐标）</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设备尺寸(mm)</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430*430*750</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设备净重（Kg）</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25</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成型尺寸(mm)</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φ240*280</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喷头规格(mm)</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0.4</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打印精度(mm)</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0.1-0.3</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分层厚度（mm）</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0.05-0.4</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打印速度（3mm/s)</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30-155</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打印热床</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热床+美纹纸</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打印材料</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PLA、仿木、仿金属</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数据格式</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STL、OBJ、AMF等</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支持系统</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WinXP/7/8/10</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 xml:space="preserve"> 操作界面</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3.5寸液晶触摸屏</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调测水平</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自动调平+手动调平</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 xml:space="preserve"> 照明系统</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LED灯</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输入输出电压</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AC220/DC24V</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保温外罩</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铝质半封闭</w:t>
            </w:r>
          </w:p>
        </w:tc>
      </w:tr>
      <w:tr>
        <w:tblPrEx>
          <w:tblCellMar>
            <w:top w:w="15" w:type="dxa"/>
            <w:left w:w="15" w:type="dxa"/>
            <w:bottom w:w="15" w:type="dxa"/>
            <w:right w:w="15" w:type="dxa"/>
          </w:tblCellMar>
        </w:tblPrEx>
        <w:trPr>
          <w:trHeight w:val="340" w:hRule="atLeast"/>
          <w:jc w:val="center"/>
        </w:trPr>
        <w:tc>
          <w:tcPr>
            <w:tcW w:w="2661"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软件名称</w:t>
            </w:r>
          </w:p>
        </w:tc>
        <w:tc>
          <w:tcPr>
            <w:tcW w:w="5617" w:type="dxa"/>
            <w:tcBorders>
              <w:top w:val="single" w:color="000000" w:sz="4" w:space="0"/>
              <w:left w:val="single" w:color="000000" w:sz="4" w:space="0"/>
              <w:bottom w:val="single" w:color="000000" w:sz="4" w:space="0"/>
              <w:right w:val="single" w:color="000000" w:sz="4" w:space="0"/>
            </w:tcBorders>
            <w:vAlign w:val="center"/>
          </w:tcPr>
          <w:p>
            <w:pPr>
              <w:snapToGrid w:val="0"/>
              <w:spacing w:line="240" w:lineRule="atLeast"/>
              <w:jc w:val="center"/>
              <w:rPr>
                <w:rFonts w:ascii="仿宋_GB2312" w:hAnsi="宋体" w:eastAsia="仿宋_GB2312"/>
                <w:sz w:val="24"/>
                <w:szCs w:val="24"/>
              </w:rPr>
            </w:pPr>
            <w:r>
              <w:rPr>
                <w:rFonts w:hint="eastAsia" w:ascii="仿宋_GB2312" w:hAnsi="宋体" w:eastAsia="仿宋_GB2312"/>
                <w:sz w:val="24"/>
                <w:szCs w:val="24"/>
                <w:lang w:eastAsia="zh-CN"/>
              </w:rPr>
              <w:t>Cura + Lithophane（光影浮雕软件）</w:t>
            </w:r>
          </w:p>
        </w:tc>
      </w:tr>
    </w:tbl>
    <w:p>
      <w:pPr>
        <w:spacing w:beforeLines="50"/>
        <w:ind w:firstLine="560" w:firstLineChars="200"/>
        <w:rPr>
          <w:rFonts w:ascii="宋体" w:hAnsi="宋体" w:eastAsia="宋体" w:cs="宋体"/>
          <w:sz w:val="28"/>
          <w:szCs w:val="28"/>
          <w:lang w:eastAsia="zh-CN"/>
        </w:rPr>
      </w:pPr>
      <w:r>
        <w:rPr>
          <w:rFonts w:hint="eastAsia" w:ascii="宋体" w:hAnsi="宋体" w:eastAsia="宋体" w:cs="宋体"/>
          <w:sz w:val="28"/>
          <w:szCs w:val="28"/>
          <w:lang w:eastAsia="zh-CN"/>
        </w:rPr>
        <w:t>4.常用工/量具（现场提供）</w:t>
      </w:r>
    </w:p>
    <w:p>
      <w:pPr>
        <w:pStyle w:val="2"/>
        <w:spacing w:line="540" w:lineRule="exact"/>
        <w:ind w:firstLine="585"/>
        <w:rPr>
          <w:rFonts w:hint="eastAsia" w:asciiTheme="minorEastAsia" w:hAnsiTheme="minorEastAsia" w:eastAsiaTheme="minorEastAsia"/>
          <w:sz w:val="28"/>
          <w:szCs w:val="28"/>
          <w:lang w:eastAsia="zh-CN"/>
        </w:rPr>
      </w:pPr>
      <w:r>
        <w:rPr>
          <w:rFonts w:hint="eastAsia" w:ascii="Arial Narrow" w:hAnsi="Arial Narrow" w:eastAsia="仿宋_GB2312" w:cs="Arial"/>
          <w:color w:val="000000"/>
          <w:kern w:val="2"/>
          <w:sz w:val="30"/>
          <w:szCs w:val="30"/>
          <w:lang w:val="en-US" w:eastAsia="zh-CN" w:bidi="ar-SA"/>
        </w:rPr>
        <w:t>签字笔、A4 纸、防翘边胶水、胶水抹平毛刷、偏口钳、刻刀一套、什锦锉一套、水砂纸、酒精容器、酒精、胶皮手套、口罩、护目镜、游标卡尺、镊子、U盘、模型铲、抹布。</w:t>
      </w:r>
    </w:p>
    <w:p>
      <w:pPr>
        <w:pStyle w:val="2"/>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八、成绩评定</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公开赛项评分标准和评分方式，赛项最终得分按百分制计分。成绩评定必须在公开、公平、公正、独立、透明的条件下进行。</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（一）评分原则</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采用过程评价与结果评价相结合、能力评价与职业素养评价相结合的方式。为了保证评判公平、公正、公开，采取以下措施：</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1.考核内容、样题和评分标准赛前一个月公开。</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2.技术人员认真调试各比赛用设备，保证考核条件一致。</w:t>
      </w:r>
    </w:p>
    <w:p>
      <w:pPr>
        <w:spacing w:line="560" w:lineRule="exact"/>
        <w:ind w:firstLine="600" w:firstLineChars="200"/>
        <w:rPr>
          <w:rFonts w:ascii="仿宋_GB2312" w:hAnsi="宋体" w:eastAsia="仿宋_GB2312"/>
          <w:sz w:val="30"/>
          <w:szCs w:val="30"/>
        </w:rPr>
      </w:pPr>
      <w:r>
        <w:rPr>
          <w:rFonts w:hint="eastAsia" w:ascii="仿宋_GB2312" w:hAnsi="宋体" w:eastAsia="仿宋_GB2312"/>
          <w:sz w:val="30"/>
          <w:szCs w:val="30"/>
        </w:rPr>
        <w:t>3.裁判队伍赛前封闭培训，统一评判标准和执裁标准。</w:t>
      </w:r>
    </w:p>
    <w:p>
      <w:pPr>
        <w:spacing w:line="360" w:lineRule="auto"/>
        <w:ind w:firstLine="600" w:firstLineChars="200"/>
        <w:rPr>
          <w:rFonts w:ascii="Times New Roman" w:hAnsi="Times New Roman" w:eastAsia="仿宋"/>
          <w:sz w:val="30"/>
          <w:szCs w:val="30"/>
        </w:rPr>
      </w:pPr>
      <w:r>
        <w:rPr>
          <w:rFonts w:hint="eastAsia" w:ascii="仿宋_GB2312" w:hAnsi="宋体" w:eastAsia="仿宋_GB2312"/>
          <w:sz w:val="30"/>
          <w:szCs w:val="30"/>
        </w:rPr>
        <w:t>4.加强试题保密工作。</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（二）评分细则</w:t>
      </w:r>
    </w:p>
    <w:tbl>
      <w:tblPr>
        <w:tblStyle w:val="5"/>
        <w:tblW w:w="93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020"/>
        <w:gridCol w:w="1290"/>
        <w:gridCol w:w="4080"/>
        <w:gridCol w:w="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7" w:hRule="atLeast"/>
          <w:jc w:val="center"/>
        </w:trPr>
        <w:tc>
          <w:tcPr>
            <w:tcW w:w="3020" w:type="dxa"/>
            <w:tcBorders>
              <w:top w:val="single" w:color="auto" w:sz="4" w:space="0"/>
            </w:tcBorders>
            <w:noWrap w:val="0"/>
            <w:vAlign w:val="center"/>
          </w:tcPr>
          <w:p>
            <w:pPr>
              <w:jc w:val="center"/>
              <w:rPr>
                <w:rFonts w:ascii="宋体" w:cs="宋体"/>
                <w:b/>
                <w:sz w:val="30"/>
                <w:szCs w:val="30"/>
              </w:rPr>
            </w:pPr>
            <w:r>
              <w:rPr>
                <w:rFonts w:hint="eastAsia" w:ascii="宋体" w:hAnsi="宋体" w:cs="宋体"/>
                <w:b/>
                <w:sz w:val="30"/>
                <w:szCs w:val="30"/>
              </w:rPr>
              <w:t>比赛内容</w:t>
            </w:r>
          </w:p>
        </w:tc>
        <w:tc>
          <w:tcPr>
            <w:tcW w:w="1290" w:type="dxa"/>
            <w:tcBorders>
              <w:top w:val="single" w:color="auto" w:sz="4" w:space="0"/>
            </w:tcBorders>
            <w:noWrap w:val="0"/>
            <w:vAlign w:val="center"/>
          </w:tcPr>
          <w:p>
            <w:pPr>
              <w:jc w:val="center"/>
              <w:rPr>
                <w:rFonts w:ascii="宋体" w:cs="宋体"/>
                <w:b/>
                <w:sz w:val="30"/>
                <w:szCs w:val="30"/>
              </w:rPr>
            </w:pPr>
            <w:r>
              <w:rPr>
                <w:rFonts w:hint="eastAsia" w:ascii="宋体" w:hAnsi="宋体" w:cs="宋体"/>
                <w:b/>
                <w:sz w:val="30"/>
                <w:szCs w:val="30"/>
              </w:rPr>
              <w:t>模块</w:t>
            </w:r>
          </w:p>
        </w:tc>
        <w:tc>
          <w:tcPr>
            <w:tcW w:w="4080" w:type="dxa"/>
            <w:tcBorders>
              <w:top w:val="single" w:color="auto" w:sz="4" w:space="0"/>
            </w:tcBorders>
            <w:noWrap w:val="0"/>
            <w:vAlign w:val="center"/>
          </w:tcPr>
          <w:p>
            <w:pPr>
              <w:jc w:val="center"/>
              <w:rPr>
                <w:rFonts w:ascii="宋体" w:cs="宋体"/>
                <w:b/>
                <w:sz w:val="30"/>
                <w:szCs w:val="30"/>
              </w:rPr>
            </w:pPr>
            <w:r>
              <w:rPr>
                <w:rFonts w:hint="eastAsia" w:ascii="宋体" w:hAnsi="宋体" w:cs="宋体"/>
                <w:b/>
                <w:sz w:val="30"/>
                <w:szCs w:val="30"/>
              </w:rPr>
              <w:t>考核指标</w:t>
            </w:r>
          </w:p>
        </w:tc>
        <w:tc>
          <w:tcPr>
            <w:tcW w:w="945" w:type="dxa"/>
            <w:tcBorders>
              <w:top w:val="single" w:color="auto" w:sz="4" w:space="0"/>
            </w:tcBorders>
            <w:noWrap w:val="0"/>
            <w:vAlign w:val="center"/>
          </w:tcPr>
          <w:p>
            <w:pPr>
              <w:jc w:val="center"/>
              <w:rPr>
                <w:rFonts w:ascii="宋体" w:cs="宋体"/>
                <w:b/>
                <w:sz w:val="30"/>
                <w:szCs w:val="30"/>
              </w:rPr>
            </w:pPr>
            <w:r>
              <w:rPr>
                <w:rFonts w:hint="eastAsia" w:ascii="宋体" w:hAnsi="宋体" w:cs="宋体"/>
                <w:b/>
                <w:sz w:val="30"/>
                <w:szCs w:val="30"/>
              </w:rPr>
              <w:t>比例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 w:hRule="atLeast"/>
          <w:jc w:val="center"/>
        </w:trPr>
        <w:tc>
          <w:tcPr>
            <w:tcW w:w="3020" w:type="dxa"/>
            <w:vMerge w:val="restart"/>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产品的创新设计</w:t>
            </w:r>
          </w:p>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[非统一地点竞赛（40%）]</w:t>
            </w: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任务1</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三维模型数字化设计</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任务2</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产品创新创意优越性</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任务3</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产品功能实用性</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任务4</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创新产品</w:t>
            </w:r>
            <w:r>
              <w:rPr>
                <w:rFonts w:hint="eastAsia" w:ascii="仿宋_GB2312" w:hAnsi="仿宋_GB2312" w:eastAsia="仿宋_GB2312" w:cs="仿宋_GB2312"/>
                <w:sz w:val="24"/>
                <w:szCs w:val="24"/>
                <w:lang w:eastAsia="zh-CN"/>
              </w:rPr>
              <w:t>二维工程图</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3020" w:type="dxa"/>
            <w:vMerge w:val="restart"/>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产品制作</w:t>
            </w:r>
          </w:p>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[统一地点竞赛（35%）]</w:t>
            </w: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任务5</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创新产品的数据处理</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任务6</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机器操作与制作</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任务7</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创新产品后期处理</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任务8</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创新产品装配</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restart"/>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产品创新设计答辩</w:t>
            </w:r>
          </w:p>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[统一地点竞赛（20%）]</w:t>
            </w: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任务9</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产品创新说明书</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任务10</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产品虚拟装配动态视频演示</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continue"/>
            <w:noWrap w:val="0"/>
            <w:vAlign w:val="center"/>
          </w:tcPr>
          <w:p>
            <w:pPr>
              <w:tabs>
                <w:tab w:val="left" w:pos="1260"/>
              </w:tabs>
              <w:adjustRightInd/>
              <w:spacing w:after="0"/>
              <w:jc w:val="center"/>
              <w:rPr>
                <w:rFonts w:hint="eastAsia" w:ascii="仿宋_GB2312" w:hAnsi="仿宋_GB2312" w:eastAsia="仿宋_GB2312" w:cs="仿宋_GB2312"/>
                <w:sz w:val="24"/>
                <w:szCs w:val="24"/>
              </w:rPr>
            </w:pPr>
          </w:p>
        </w:tc>
        <w:tc>
          <w:tcPr>
            <w:tcW w:w="129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任务11</w:t>
            </w: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现场选手创新产品介绍</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restart"/>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综合素质</w:t>
            </w:r>
          </w:p>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[统一地点竞赛（5%）]</w:t>
            </w:r>
          </w:p>
        </w:tc>
        <w:tc>
          <w:tcPr>
            <w:tcW w:w="1290" w:type="dxa"/>
            <w:noWrap w:val="0"/>
            <w:vAlign w:val="center"/>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设备操作规范性</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爱惜赛场的设备和器材。</w:t>
            </w:r>
          </w:p>
        </w:tc>
        <w:tc>
          <w:tcPr>
            <w:tcW w:w="945"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continue"/>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1290" w:type="dxa"/>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快速成型材料及支撑材料利用率</w:t>
            </w:r>
          </w:p>
        </w:tc>
        <w:tc>
          <w:tcPr>
            <w:tcW w:w="945" w:type="dxa"/>
            <w:noWrap w:val="0"/>
            <w:vAlign w:val="top"/>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continue"/>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1290" w:type="dxa"/>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工具、量具、夹具使用状况</w:t>
            </w:r>
          </w:p>
        </w:tc>
        <w:tc>
          <w:tcPr>
            <w:tcW w:w="945" w:type="dxa"/>
            <w:noWrap w:val="0"/>
            <w:vAlign w:val="top"/>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continue"/>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1290" w:type="dxa"/>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竞赛现场安全、文明情况</w:t>
            </w:r>
          </w:p>
        </w:tc>
        <w:tc>
          <w:tcPr>
            <w:tcW w:w="945" w:type="dxa"/>
            <w:noWrap w:val="0"/>
            <w:vAlign w:val="top"/>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40" w:hRule="atLeast"/>
          <w:jc w:val="center"/>
        </w:trPr>
        <w:tc>
          <w:tcPr>
            <w:tcW w:w="3020" w:type="dxa"/>
            <w:vMerge w:val="continue"/>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1290" w:type="dxa"/>
            <w:noWrap w:val="0"/>
            <w:vAlign w:val="top"/>
          </w:tcPr>
          <w:p>
            <w:pPr>
              <w:tabs>
                <w:tab w:val="left" w:pos="1260"/>
              </w:tabs>
              <w:adjustRightInd/>
              <w:spacing w:after="0"/>
              <w:ind w:firstLine="480" w:firstLineChars="200"/>
              <w:jc w:val="center"/>
              <w:rPr>
                <w:rFonts w:hint="eastAsia" w:ascii="仿宋_GB2312" w:hAnsi="仿宋_GB2312" w:eastAsia="仿宋_GB2312" w:cs="仿宋_GB2312"/>
                <w:sz w:val="24"/>
                <w:szCs w:val="24"/>
              </w:rPr>
            </w:pPr>
          </w:p>
        </w:tc>
        <w:tc>
          <w:tcPr>
            <w:tcW w:w="4080" w:type="dxa"/>
            <w:noWrap w:val="0"/>
            <w:vAlign w:val="center"/>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废品、含毒品处理及环保意识</w:t>
            </w:r>
          </w:p>
        </w:tc>
        <w:tc>
          <w:tcPr>
            <w:tcW w:w="945" w:type="dxa"/>
            <w:noWrap w:val="0"/>
            <w:vAlign w:val="top"/>
          </w:tcPr>
          <w:p>
            <w:pPr>
              <w:tabs>
                <w:tab w:val="left" w:pos="1260"/>
              </w:tabs>
              <w:adjustRightInd/>
              <w:spacing w:after="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bl>
    <w:p>
      <w:pPr>
        <w:snapToGrid w:val="0"/>
        <w:spacing w:line="540" w:lineRule="exact"/>
        <w:ind w:firstLine="600" w:firstLineChars="200"/>
        <w:rPr>
          <w:rFonts w:hint="eastAsia" w:ascii="Arial Narrow" w:hAnsi="Arial Narrow" w:eastAsia="仿宋_GB2312" w:cs="Arial"/>
          <w:color w:val="000000"/>
          <w:sz w:val="30"/>
          <w:szCs w:val="30"/>
        </w:rPr>
      </w:pPr>
    </w:p>
    <w:p>
      <w:pPr>
        <w:snapToGrid w:val="0"/>
        <w:spacing w:line="540" w:lineRule="exact"/>
        <w:ind w:firstLine="600" w:firstLineChars="200"/>
        <w:rPr>
          <w:rFonts w:ascii="楷体" w:hAnsi="楷体" w:eastAsia="楷体" w:cs="仿宋"/>
          <w:sz w:val="30"/>
          <w:szCs w:val="30"/>
        </w:rPr>
      </w:pPr>
      <w:r>
        <w:rPr>
          <w:rFonts w:hint="eastAsia" w:ascii="楷体" w:hAnsi="楷体" w:eastAsia="楷体" w:cs="仿宋"/>
          <w:sz w:val="30"/>
          <w:szCs w:val="30"/>
        </w:rPr>
        <w:t>（三）奖项设置</w:t>
      </w:r>
    </w:p>
    <w:p>
      <w:pPr>
        <w:pStyle w:val="13"/>
        <w:tabs>
          <w:tab w:val="left" w:pos="425"/>
        </w:tabs>
        <w:spacing w:line="560" w:lineRule="exact"/>
        <w:ind w:firstLine="600" w:firstLineChars="200"/>
        <w:jc w:val="left"/>
        <w:outlineLvl w:val="2"/>
        <w:rPr>
          <w:rFonts w:ascii="仿宋_GB2312" w:hAnsi="宋体" w:eastAsia="仿宋_GB2312"/>
          <w:sz w:val="30"/>
          <w:szCs w:val="30"/>
        </w:rPr>
      </w:pPr>
      <w:r>
        <w:rPr>
          <w:rFonts w:hint="eastAsia" w:ascii="仿宋_GB2312" w:hAnsi="宋体" w:eastAsia="仿宋_GB2312"/>
          <w:sz w:val="30"/>
          <w:szCs w:val="30"/>
        </w:rPr>
        <w:t>1.</w:t>
      </w:r>
      <w:r>
        <w:rPr>
          <w:rFonts w:hint="eastAsia" w:ascii="仿宋_GB2312" w:hAnsi="宋体" w:eastAsia="仿宋_GB2312"/>
          <w:sz w:val="30"/>
          <w:szCs w:val="30"/>
          <w:lang w:eastAsia="zh-CN"/>
        </w:rPr>
        <w:t>学生组赛项设立团体</w:t>
      </w:r>
      <w:r>
        <w:rPr>
          <w:rFonts w:ascii="仿宋_GB2312" w:hAnsi="宋体" w:eastAsia="仿宋_GB2312"/>
          <w:sz w:val="30"/>
          <w:szCs w:val="30"/>
        </w:rPr>
        <w:t>一、二、三等奖。</w:t>
      </w:r>
      <w:r>
        <w:rPr>
          <w:rFonts w:hint="eastAsia" w:ascii="仿宋_GB2312" w:hAnsi="宋体" w:eastAsia="仿宋_GB2312"/>
          <w:sz w:val="30"/>
          <w:szCs w:val="30"/>
        </w:rPr>
        <w:t>按照竞赛总成绩由高到低排序，</w:t>
      </w:r>
      <w:r>
        <w:rPr>
          <w:rFonts w:ascii="仿宋_GB2312" w:hAnsi="宋体" w:eastAsia="仿宋_GB2312"/>
          <w:sz w:val="30"/>
          <w:szCs w:val="30"/>
        </w:rPr>
        <w:t>以实际参赛队总数为基数，一、二、三等奖获奖比例分别为10%、2</w:t>
      </w:r>
      <w:r>
        <w:rPr>
          <w:rFonts w:hint="eastAsia" w:ascii="仿宋_GB2312" w:hAnsi="宋体" w:eastAsia="仿宋_GB2312"/>
          <w:sz w:val="30"/>
          <w:szCs w:val="30"/>
        </w:rPr>
        <w:t>5</w:t>
      </w:r>
      <w:r>
        <w:rPr>
          <w:rFonts w:ascii="仿宋_GB2312" w:hAnsi="宋体" w:eastAsia="仿宋_GB2312"/>
          <w:sz w:val="30"/>
          <w:szCs w:val="30"/>
        </w:rPr>
        <w:t>%、3</w:t>
      </w:r>
      <w:r>
        <w:rPr>
          <w:rFonts w:hint="eastAsia" w:ascii="仿宋_GB2312" w:hAnsi="宋体" w:eastAsia="仿宋_GB2312"/>
          <w:sz w:val="30"/>
          <w:szCs w:val="30"/>
        </w:rPr>
        <w:t>5</w:t>
      </w:r>
      <w:r>
        <w:rPr>
          <w:rFonts w:ascii="仿宋_GB2312" w:hAnsi="宋体" w:eastAsia="仿宋_GB2312"/>
          <w:sz w:val="30"/>
          <w:szCs w:val="30"/>
        </w:rPr>
        <w:t>%（小数点后四舍五入）。</w:t>
      </w:r>
      <w:r>
        <w:rPr>
          <w:rFonts w:hint="eastAsia" w:ascii="仿宋_GB2312" w:hAnsi="宋体" w:eastAsia="仿宋_GB2312"/>
          <w:sz w:val="30"/>
          <w:szCs w:val="30"/>
        </w:rPr>
        <w:t>当总分相同时，取并列名次。</w:t>
      </w:r>
    </w:p>
    <w:p>
      <w:pPr>
        <w:snapToGrid w:val="0"/>
        <w:spacing w:line="540" w:lineRule="exact"/>
        <w:ind w:firstLine="600" w:firstLineChars="200"/>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2.获得团体一等奖参赛队的指导教师，由主办方授予“</w:t>
      </w:r>
      <w:r>
        <w:rPr>
          <w:rFonts w:hint="eastAsia" w:ascii="仿宋_GB2312" w:hAnsi="仿宋_GB2312" w:eastAsia="仿宋_GB2312" w:cs="仿宋_GB2312"/>
          <w:bCs/>
          <w:color w:val="000000" w:themeColor="text1"/>
          <w:sz w:val="30"/>
          <w:szCs w:val="30"/>
          <w:highlight w:val="none"/>
          <w14:textFill>
            <w14:solidFill>
              <w14:schemeClr w14:val="tx1"/>
            </w14:solidFill>
          </w14:textFill>
        </w:rPr>
        <w:t>2019年度机械行业职业教育技能大赛优秀指导教师</w:t>
      </w:r>
      <w:r>
        <w:rPr>
          <w:rFonts w:hint="eastAsia" w:ascii="仿宋_GB2312" w:hAnsi="仿宋_GB2312" w:eastAsia="仿宋_GB2312" w:cs="仿宋_GB2312"/>
          <w:bCs/>
          <w:sz w:val="30"/>
          <w:szCs w:val="30"/>
        </w:rPr>
        <w:t>”，并颁发荣誉证书。</w:t>
      </w:r>
    </w:p>
    <w:p>
      <w:pPr>
        <w:snapToGrid w:val="0"/>
        <w:spacing w:line="540" w:lineRule="exact"/>
        <w:ind w:firstLine="600" w:firstLineChars="200"/>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val="en-US" w:eastAsia="zh-CN"/>
        </w:rPr>
        <w:t>3.</w:t>
      </w:r>
      <w:r>
        <w:rPr>
          <w:rFonts w:hint="eastAsia" w:ascii="仿宋_GB2312" w:hAnsi="仿宋_GB2312" w:eastAsia="仿宋_GB2312" w:cs="仿宋_GB2312"/>
          <w:bCs/>
          <w:sz w:val="30"/>
          <w:szCs w:val="30"/>
          <w:lang w:eastAsia="zh-CN"/>
        </w:rPr>
        <w:t>职工组赛项设个人一、二、三等奖，以实际参赛队总数为基数，一、二、三等奖的获奖比例分别为10%、25%、35%（小数点后四舍五入），总分相同时，取并列名次。</w:t>
      </w:r>
    </w:p>
    <w:p>
      <w:pPr>
        <w:snapToGrid w:val="0"/>
        <w:spacing w:line="540" w:lineRule="exact"/>
        <w:ind w:firstLine="600" w:firstLineChars="200"/>
        <w:rPr>
          <w:rFonts w:hint="eastAsia" w:ascii="仿宋_GB2312" w:hAnsi="仿宋_GB2312" w:eastAsia="仿宋_GB2312" w:cs="仿宋_GB2312"/>
          <w:bCs/>
          <w:sz w:val="30"/>
          <w:szCs w:val="30"/>
          <w:lang w:val="en-US" w:eastAsia="zh-CN"/>
        </w:rPr>
      </w:pPr>
      <w:r>
        <w:rPr>
          <w:rFonts w:hint="eastAsia" w:ascii="仿宋_GB2312" w:hAnsi="仿宋_GB2312" w:eastAsia="仿宋_GB2312" w:cs="仿宋_GB2312"/>
          <w:bCs/>
          <w:sz w:val="30"/>
          <w:szCs w:val="30"/>
          <w:lang w:val="en-US" w:eastAsia="zh-CN"/>
        </w:rPr>
        <w:t>4.国际组赛项设立团体一、二、三等奖。按照竞赛总成绩由高到低排序，以实际参赛队总数为基数，一、二、三等奖获奖比例分别为10%、25%、35%（小数点后四舍五入）。当总分相同时，取并列名次。</w:t>
      </w:r>
    </w:p>
    <w:p>
      <w:pPr>
        <w:snapToGrid w:val="0"/>
        <w:spacing w:line="540" w:lineRule="exact"/>
        <w:ind w:firstLine="600" w:firstLineChars="200"/>
        <w:rPr>
          <w:rFonts w:hint="eastAsia" w:ascii="仿宋_GB2312" w:hAnsi="仿宋_GB2312" w:eastAsia="仿宋_GB2312" w:cs="仿宋_GB2312"/>
          <w:bCs/>
          <w:sz w:val="30"/>
          <w:szCs w:val="30"/>
          <w:lang w:eastAsia="zh-CN"/>
        </w:rPr>
      </w:pP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九、赛项安全</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2"/>
        <w:spacing w:line="540" w:lineRule="exact"/>
        <w:ind w:firstLine="585"/>
        <w:rPr>
          <w:rFonts w:ascii="Arial Narrow" w:hAnsi="Arial Narrow" w:eastAsia="仿宋_GB2312" w:cs="Arial"/>
          <w:color w:val="000000"/>
          <w:sz w:val="30"/>
          <w:szCs w:val="30"/>
        </w:rPr>
      </w:pPr>
      <w:r>
        <w:rPr>
          <w:rFonts w:hint="eastAsia" w:ascii="仿宋_GB2312" w:hAnsi="仿宋_GB2312" w:eastAsia="仿宋_GB2312" w:cs="仿宋_GB2312"/>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40" w:lineRule="exact"/>
        <w:ind w:firstLine="602" w:firstLineChars="200"/>
        <w:rPr>
          <w:rFonts w:ascii="Arial Narrow" w:hAnsi="Arial Narrow" w:eastAsia="仿宋_GB2312" w:cs="Arial"/>
          <w:color w:val="000000"/>
          <w:sz w:val="30"/>
          <w:szCs w:val="30"/>
        </w:rPr>
      </w:pPr>
      <w:r>
        <w:rPr>
          <w:rFonts w:hint="eastAsia" w:ascii="Arial Narrow" w:hAnsi="Arial Narrow" w:eastAsia="仿宋_GB2312" w:cs="Arial"/>
          <w:b/>
          <w:bCs/>
          <w:color w:val="000000"/>
          <w:sz w:val="30"/>
          <w:szCs w:val="30"/>
        </w:rPr>
        <w:t>十、竞赛须知</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（一）参赛队须知</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1.参赛队员在报名获得审核确认后，原则上不再更换，如筹备过程中，队员因故不能参赛，所在省教育主管部门需出具书面说明并按相关规定补充人员并接受审核；竞赛开始后，参赛队不得更换参赛队员，根据情况可允许队员缺席比赛。</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2.各学校组织代表队时，须为参赛选手购买大赛期间的人身意外伤害保险。</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3.参赛队按照大赛赛程安排，凭赛项组委会颁发的参赛证和有效身份证件参加比赛及相关活动。</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4.参赛队员统一着装，须符合安全生产及竞赛要求。</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5.比赛过程中，参赛选手须严格遵守操作过程和相关准则，保证设备及人身安全，并接受裁判员的监督和警示；若因设备故障导致选手中断或终止比赛，由大赛裁判长视具体情况做出裁决。</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6. 各学校代表队组成后，须制定相关管理制度，并对所有选手、指导教师进行安全教育。</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（二）指导教师须知</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1.各参赛代表队指导教师要发扬良好道德风尚，听从指挥，服从裁判，不弄虚作假。指导教师经报名、审核后确定，一经确定不得更换。如发现弄虚作假者，取消参赛资格，名次无效。</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2．在比赛阶段，不允许指导教师上场指导，禁止使用通讯工具。</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3.各代表队指导教师和领队要坚决执行比赛的各项规定，加强对参赛人员的管理，做好赛前准备工作，督促选手带好证件和允许自带的各种工具等。</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4.参赛选手对裁判等工作人员的工作有异议时，必须在2小时内由领队提出书面报告送交仲裁委员会。口头报告或其他人员要求解释处理，仲裁委员会不予受理。</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5.对申诉的仲裁结果，领队和指导教师应带头服从和执行，还应说服参赛选手服从和执行。</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6.指导教师应认真研究和掌握本赛项比赛的技术规则和赛场要求，指导选手做好赛前的一切技术准备和应试准备。</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7.领队和指导教师应在赛后做好技术总结和工作总结。</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（三）参赛选手须知</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1.严格遵守技能竞赛规则、技能竞赛纪律和安全操作规程，尊重裁判和赛场工作人员，自觉维护赛场秩序。</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2.佩带参赛证件及着工装进入比赛场地，并接受裁判的检查。</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3.进入赛场前须将手机等通讯工具交赛场相关人员妥善保管。</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4.严格遵守赛事时间规定，准时抵达检录区，在开赛15分钟后不准入场，开赛后未经允许不得擅自离开赛场。</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5.竞赛完成后必须按裁判要求迅速离开赛场，不得在赛场内滞留。</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6.竞赛结束时间到，应立即停止一切竞赛内容操作，不得拖延竞赛时间。</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7.爱护竞赛场所的设备、仪器等，不得人为损坏竞赛用仪器设备。</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8.参赛选手除竞赛指定自带工具外其它工具一律不准携带入场。</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（四）工作人员须知</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1.检查选手证件，选手凭有效证件，按时参加检录和竞赛，如不能按时参赛以自动弃权处理。</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2.严格时间管理，选手在开赛信号发出后才能进行技能竞赛，竞赛过程中，选手休息、饮水或去洗手间等所用时间，一律计算在操作时间内，饮用水由赛场统一准备，认真做好服务工作。</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3.不允许选手将通讯工具带入赛场，如私自带入者，一经发现取消其竞赛资格。</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4.选手提问，经允许后，可以提问不清楚的问题，裁判人员须正面回答。</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5.赛场内保持安静，不准吸烟，负责各自赛位的裁判员和工作人员不得随意进入其它赛位。</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6.如果选手提前结束竞赛，应向裁判员示意，竞赛终止时间由裁判员记录在案。</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7.竞赛终了信号发出后，监督选手听从裁判员指挥，待裁判允许后方可离开赛场。</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8.所有工作人员必须统一佩戴由大赛组委会签发的相应证件，着装整齐，赛场除现场工作人员以外，其他人员未经允许不得进入赛场。</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9.新闻媒体等进入赛场必须经过赛项组委会允许，并且听从现场工作人员的安排和管理，不能影响竞赛进行。</w:t>
      </w:r>
    </w:p>
    <w:p>
      <w:pPr>
        <w:snapToGrid w:val="0"/>
        <w:spacing w:line="540" w:lineRule="exact"/>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十一、申诉与仲裁</w:t>
      </w:r>
    </w:p>
    <w:p>
      <w:pPr>
        <w:spacing w:line="560" w:lineRule="exact"/>
        <w:ind w:left="420" w:leftChars="200"/>
        <w:rPr>
          <w:rFonts w:ascii="华文楷体" w:hAnsi="华文楷体" w:eastAsia="华文楷体" w:cs="华文楷体"/>
          <w:sz w:val="30"/>
          <w:szCs w:val="30"/>
        </w:rPr>
      </w:pPr>
      <w:r>
        <w:rPr>
          <w:rFonts w:hint="eastAsia" w:ascii="华文楷体" w:hAnsi="华文楷体" w:eastAsia="华文楷体" w:cs="华文楷体"/>
          <w:sz w:val="30"/>
          <w:szCs w:val="30"/>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snapToGrid w:val="0"/>
        <w:spacing w:line="560" w:lineRule="exact"/>
        <w:ind w:firstLine="600" w:firstLineChars="200"/>
        <w:rPr>
          <w:rFonts w:ascii="华文楷体" w:hAnsi="华文楷体" w:eastAsia="华文楷体" w:cs="华文楷体"/>
          <w:sz w:val="30"/>
          <w:szCs w:val="30"/>
        </w:rPr>
      </w:pPr>
      <w:r>
        <w:rPr>
          <w:rFonts w:hint="eastAsia" w:ascii="华文楷体" w:hAnsi="华文楷体" w:eastAsia="华文楷体" w:cs="华文楷体"/>
          <w:sz w:val="30"/>
          <w:szCs w:val="30"/>
        </w:rPr>
        <w:t>（二）仲裁</w:t>
      </w:r>
    </w:p>
    <w:p>
      <w:pPr>
        <w:snapToGrid w:val="0"/>
        <w:spacing w:line="540" w:lineRule="exact"/>
        <w:ind w:firstLine="600" w:firstLineChars="200"/>
        <w:rPr>
          <w:rFonts w:ascii="仿宋_GB2312" w:hAnsi="仿宋_GB2312" w:eastAsia="仿宋_GB2312" w:cs="仿宋_GB2312"/>
          <w:color w:val="000000"/>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hint="eastAsia" w:ascii="仿宋_GB2312" w:hAnsi="仿宋_GB2312" w:eastAsia="仿宋_GB2312" w:cs="仿宋_GB2312"/>
          <w:kern w:val="0"/>
          <w:sz w:val="30"/>
          <w:szCs w:val="30"/>
        </w:rPr>
      </w:pPr>
    </w:p>
    <w:p>
      <w:pPr>
        <w:snapToGrid w:val="0"/>
        <w:spacing w:line="560" w:lineRule="exact"/>
        <w:rPr>
          <w:b/>
        </w:rPr>
      </w:pPr>
    </w:p>
    <w:sectPr>
      <w:footerReference r:id="rId4" w:type="first"/>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mCS9MAAAAFAQAADwAAAAAAAAABACAAAAAiAAAAZHJzL2Rvd25yZXYueG1sUEsBAhQAFAAAAAgA&#10;h07iQBqoUS+4AQAAVQMAAA4AAAAAAAAAAQAgAAAAIgEAAGRycy9lMm9Eb2MueG1sUEsFBgAAAAAG&#10;AAYAWQEAAEwFAAAAAA==&#10;">
              <v:fill on="f" focussize="0,0"/>
              <v:stroke on="f" weight="1.25pt"/>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P9mZ7cBAABVAwAADgAAAAAAAAABACAAAAAiAQAAZHJzL2Uyb0RvYy54bWxQSwUGAAAAAAYA&#10;BgBZAQAASwUAAAAA&#10;">
              <v:fill on="f" focussize="0,0"/>
              <v:stroke on="f" weight="1.25pt"/>
              <v:imagedata o:title=""/>
              <o:lock v:ext="edit" aspectratio="f"/>
              <v:textbox inset="0mm,0mm,0mm,0mm" style="mso-fit-shape-to-text:t;">
                <w:txbxContent>
                  <w:p>
                    <w:pPr>
                      <w:pStyle w:val="3"/>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A1C97D"/>
    <w:multiLevelType w:val="singleLevel"/>
    <w:tmpl w:val="9FA1C97D"/>
    <w:lvl w:ilvl="0" w:tentative="0">
      <w:start w:val="1"/>
      <w:numFmt w:val="decimal"/>
      <w:suff w:val="space"/>
      <w:lvlText w:val="%1."/>
      <w:lvlJc w:val="left"/>
    </w:lvl>
  </w:abstractNum>
  <w:abstractNum w:abstractNumId="1">
    <w:nsid w:val="5BB2F99C"/>
    <w:multiLevelType w:val="singleLevel"/>
    <w:tmpl w:val="5BB2F99C"/>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6EE"/>
    <w:rsid w:val="000359DB"/>
    <w:rsid w:val="0017641F"/>
    <w:rsid w:val="001D71D3"/>
    <w:rsid w:val="002251A6"/>
    <w:rsid w:val="0025556E"/>
    <w:rsid w:val="00353335"/>
    <w:rsid w:val="00406DC0"/>
    <w:rsid w:val="00570AB4"/>
    <w:rsid w:val="00773F16"/>
    <w:rsid w:val="007B01C5"/>
    <w:rsid w:val="008766EE"/>
    <w:rsid w:val="008E524D"/>
    <w:rsid w:val="009228CE"/>
    <w:rsid w:val="00990A87"/>
    <w:rsid w:val="009A4A35"/>
    <w:rsid w:val="00A633CD"/>
    <w:rsid w:val="00B717DA"/>
    <w:rsid w:val="00D457E6"/>
    <w:rsid w:val="00DB0BF4"/>
    <w:rsid w:val="00DD03C1"/>
    <w:rsid w:val="00DD1CAB"/>
    <w:rsid w:val="00DF5C0B"/>
    <w:rsid w:val="00E42E3B"/>
    <w:rsid w:val="00E735CD"/>
    <w:rsid w:val="00F76572"/>
    <w:rsid w:val="00FE4A80"/>
    <w:rsid w:val="00FE59E1"/>
    <w:rsid w:val="056D3A1B"/>
    <w:rsid w:val="306E463B"/>
    <w:rsid w:val="315B1E27"/>
    <w:rsid w:val="4C4808ED"/>
    <w:rsid w:val="4D1E2812"/>
    <w:rsid w:val="54372797"/>
    <w:rsid w:val="54C92A1C"/>
    <w:rsid w:val="55F830D6"/>
    <w:rsid w:val="565429D0"/>
    <w:rsid w:val="569F13F7"/>
    <w:rsid w:val="58287C1E"/>
    <w:rsid w:val="5ACC3C86"/>
    <w:rsid w:val="61574183"/>
    <w:rsid w:val="646648F8"/>
    <w:rsid w:val="78CB3939"/>
    <w:rsid w:val="7FB57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0"/>
    <w:rPr>
      <w:sz w:val="20"/>
      <w:szCs w:val="20"/>
    </w:rPr>
  </w:style>
  <w:style w:type="paragraph" w:styleId="3">
    <w:name w:val="footer"/>
    <w:basedOn w:val="1"/>
    <w:link w:val="10"/>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semiHidden/>
    <w:qFormat/>
    <w:uiPriority w:val="0"/>
    <w:rPr>
      <w:sz w:val="21"/>
      <w:szCs w:val="21"/>
    </w:rPr>
  </w:style>
  <w:style w:type="character" w:customStyle="1" w:styleId="8">
    <w:name w:val="页脚 Char"/>
    <w:link w:val="3"/>
    <w:qFormat/>
    <w:uiPriority w:val="0"/>
    <w:rPr>
      <w:sz w:val="18"/>
      <w:szCs w:val="18"/>
    </w:rPr>
  </w:style>
  <w:style w:type="character" w:customStyle="1" w:styleId="9">
    <w:name w:val="批注文字 Char"/>
    <w:basedOn w:val="6"/>
    <w:link w:val="2"/>
    <w:qFormat/>
    <w:uiPriority w:val="0"/>
    <w:rPr>
      <w:rFonts w:ascii="Calibri" w:hAnsi="Calibri" w:eastAsia="宋体" w:cs="Times New Roman"/>
      <w:sz w:val="20"/>
      <w:szCs w:val="20"/>
    </w:rPr>
  </w:style>
  <w:style w:type="character" w:customStyle="1" w:styleId="10">
    <w:name w:val="页脚 Char1"/>
    <w:basedOn w:val="6"/>
    <w:link w:val="3"/>
    <w:semiHidden/>
    <w:qFormat/>
    <w:uiPriority w:val="99"/>
    <w:rPr>
      <w:rFonts w:ascii="Calibri" w:hAnsi="Calibri" w:eastAsia="宋体" w:cs="Times New Roman"/>
      <w:sz w:val="18"/>
      <w:szCs w:val="18"/>
    </w:rPr>
  </w:style>
  <w:style w:type="character" w:customStyle="1" w:styleId="11">
    <w:name w:val="页眉 Char"/>
    <w:basedOn w:val="6"/>
    <w:link w:val="4"/>
    <w:semiHidden/>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样式 黑体 小初 居中 首行缩进:  2 字符"/>
    <w:basedOn w:val="1"/>
    <w:qFormat/>
    <w:uiPriority w:val="0"/>
    <w:pPr>
      <w:jc w:val="center"/>
    </w:pPr>
    <w:rPr>
      <w:rFonts w:ascii="黑体" w:eastAsia="黑体" w:cs="宋体"/>
      <w:sz w:val="7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427</Words>
  <Characters>2436</Characters>
  <Lines>20</Lines>
  <Paragraphs>5</Paragraphs>
  <TotalTime>3</TotalTime>
  <ScaleCrop>false</ScaleCrop>
  <LinksUpToDate>false</LinksUpToDate>
  <CharactersWithSpaces>2858</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2019-07-13T16:40:00Z</dcterms:created>
  <dc:creator>Administrator</dc:creator>
  <cp:lastModifiedBy>dxm</cp:lastModifiedBy>
  <cp:lastPrinted>2019-07-15T02:35:00Z</cp:lastPrinted>
  <dcterms:modified xsi:type="dcterms:W3CDTF">2019-11-01T06:54:53Z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