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06" w:rsidRDefault="00D42733">
      <w:pPr>
        <w:widowControl/>
        <w:jc w:val="center"/>
        <w:rPr>
          <w:rFonts w:ascii="黑体" w:eastAsia="黑体" w:hAnsi="黑体" w:cs="仿宋_GB2312"/>
          <w:b/>
          <w:sz w:val="36"/>
          <w:szCs w:val="36"/>
        </w:rPr>
      </w:pPr>
      <w:r>
        <w:rPr>
          <w:rFonts w:ascii="黑体" w:eastAsia="黑体" w:hAnsi="黑体" w:cs="仿宋_GB2312" w:hint="eastAsia"/>
          <w:b/>
          <w:color w:val="000000"/>
          <w:sz w:val="36"/>
          <w:szCs w:val="36"/>
        </w:rPr>
        <w:t>2019年度机械行业职业教育技能大赛</w:t>
      </w:r>
    </w:p>
    <w:p w:rsidR="009E3F0C" w:rsidRDefault="009E3F0C">
      <w:pPr>
        <w:snapToGrid w:val="0"/>
        <w:spacing w:line="540" w:lineRule="exact"/>
        <w:jc w:val="center"/>
        <w:rPr>
          <w:rFonts w:ascii="黑体" w:eastAsia="黑体" w:hAnsi="黑体" w:cs="仿宋_GB2312"/>
          <w:b/>
          <w:sz w:val="36"/>
          <w:szCs w:val="36"/>
        </w:rPr>
      </w:pPr>
      <w:r>
        <w:rPr>
          <w:rFonts w:ascii="黑体" w:eastAsia="黑体" w:hAnsi="黑体" w:cs="仿宋_GB2312" w:hint="eastAsia"/>
          <w:b/>
          <w:sz w:val="36"/>
          <w:szCs w:val="36"/>
        </w:rPr>
        <w:t>“越疆杯”</w:t>
      </w:r>
      <w:r w:rsidR="00D42733">
        <w:rPr>
          <w:rFonts w:ascii="黑体" w:eastAsia="黑体" w:hAnsi="黑体" w:cs="仿宋_GB2312" w:hint="eastAsia"/>
          <w:b/>
          <w:sz w:val="36"/>
          <w:szCs w:val="36"/>
        </w:rPr>
        <w:t>人工智能与机器人技术应用赛项</w:t>
      </w:r>
    </w:p>
    <w:p w:rsidR="00F01006" w:rsidRDefault="00D42733">
      <w:pPr>
        <w:snapToGrid w:val="0"/>
        <w:spacing w:line="540" w:lineRule="exact"/>
        <w:jc w:val="center"/>
        <w:rPr>
          <w:rFonts w:ascii="Arial Narrow" w:eastAsia="黑体" w:hAnsi="Arial Narrow"/>
          <w:b/>
          <w:sz w:val="36"/>
          <w:szCs w:val="36"/>
        </w:rPr>
      </w:pPr>
      <w:r>
        <w:rPr>
          <w:rFonts w:ascii="黑体" w:eastAsia="黑体" w:hAnsi="黑体" w:cs="仿宋_GB2312" w:hint="eastAsia"/>
          <w:b/>
          <w:sz w:val="36"/>
          <w:szCs w:val="36"/>
        </w:rPr>
        <w:t>竞赛规程</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一、赛项名称</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人工智能与机器人技术应用</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二、赛项组别</w:t>
      </w:r>
      <w:r>
        <w:rPr>
          <w:rFonts w:ascii="Arial Narrow" w:eastAsia="仿宋_GB2312" w:hAnsi="Arial Narrow" w:cs="Arial"/>
          <w:b/>
          <w:bCs/>
          <w:color w:val="000000"/>
          <w:sz w:val="30"/>
          <w:szCs w:val="30"/>
        </w:rPr>
        <w:t>及</w:t>
      </w:r>
      <w:r>
        <w:rPr>
          <w:rFonts w:ascii="Arial Narrow" w:eastAsia="仿宋_GB2312" w:hAnsi="Arial Narrow" w:cs="Arial" w:hint="eastAsia"/>
          <w:b/>
          <w:bCs/>
          <w:color w:val="000000"/>
          <w:sz w:val="30"/>
          <w:szCs w:val="30"/>
        </w:rPr>
        <w:t>参赛对象</w:t>
      </w:r>
    </w:p>
    <w:p w:rsidR="00F01006" w:rsidRDefault="00D4273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（一）赛项组别</w:t>
      </w:r>
    </w:p>
    <w:p w:rsidR="00F01006" w:rsidRDefault="00D42733">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高职组</w:t>
      </w:r>
    </w:p>
    <w:p w:rsidR="00F01006" w:rsidRDefault="00D4273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（二）参赛对象</w:t>
      </w:r>
    </w:p>
    <w:p w:rsidR="00F01006" w:rsidRDefault="00D42733">
      <w:pPr>
        <w:snapToGrid w:val="0"/>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参赛选手须为普通高等学校全日制在籍学生、本科院校中高职类全日制在籍学生、五年制高职四、五年级在籍学生，年龄须不超过25周岁，年龄计算的截止时间以比赛当年的11月20日为准。每队限报2名指导教师，须为本校专兼职教师。</w:t>
      </w:r>
    </w:p>
    <w:p w:rsidR="00F01006" w:rsidRDefault="00D42733">
      <w:pPr>
        <w:snapToGrid w:val="0"/>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同一学校相同项目报名参赛队不超过2支。</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三、竞赛拟定时间及地点</w:t>
      </w:r>
    </w:p>
    <w:p w:rsidR="00F01006" w:rsidRDefault="00D4273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（一）竞赛</w:t>
      </w:r>
      <w:r>
        <w:rPr>
          <w:rFonts w:ascii="楷体" w:eastAsia="楷体" w:hAnsi="楷体" w:cs="仿宋"/>
          <w:sz w:val="30"/>
          <w:szCs w:val="30"/>
        </w:rPr>
        <w:t>时间</w:t>
      </w:r>
    </w:p>
    <w:p w:rsidR="00F01006" w:rsidRDefault="00D42733">
      <w:pPr>
        <w:spacing w:line="560" w:lineRule="exact"/>
        <w:ind w:firstLineChars="200" w:firstLine="600"/>
        <w:jc w:val="left"/>
        <w:rPr>
          <w:rFonts w:ascii="仿宋_GB2312" w:eastAsia="仿宋_GB2312" w:hAnsi="宋体"/>
          <w:kern w:val="0"/>
          <w:sz w:val="30"/>
          <w:szCs w:val="30"/>
        </w:rPr>
      </w:pPr>
      <w:r>
        <w:rPr>
          <w:rFonts w:ascii="仿宋_GB2312" w:eastAsia="仿宋_GB2312" w:hAnsi="宋体" w:hint="eastAsia"/>
          <w:kern w:val="0"/>
          <w:sz w:val="30"/>
          <w:szCs w:val="30"/>
        </w:rPr>
        <w:t>2019年11月23日-24日。</w:t>
      </w:r>
    </w:p>
    <w:p w:rsidR="00F01006" w:rsidRDefault="00D4273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（二）竞赛</w:t>
      </w:r>
      <w:r>
        <w:rPr>
          <w:rFonts w:ascii="楷体" w:eastAsia="楷体" w:hAnsi="楷体" w:cs="仿宋"/>
          <w:sz w:val="30"/>
          <w:szCs w:val="30"/>
        </w:rPr>
        <w:t>地点</w:t>
      </w:r>
    </w:p>
    <w:p w:rsidR="00F01006" w:rsidRDefault="00D42733">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山东省，烟台职业学院。</w:t>
      </w:r>
    </w:p>
    <w:p w:rsidR="00F01006" w:rsidRDefault="00D42733">
      <w:pPr>
        <w:spacing w:line="560" w:lineRule="exact"/>
        <w:ind w:firstLineChars="200" w:firstLine="600"/>
        <w:jc w:val="left"/>
        <w:rPr>
          <w:rFonts w:ascii="仿宋_GB2312" w:eastAsia="仿宋_GB2312" w:hAnsi="仿宋_GB2312" w:cs="仿宋_GB2312"/>
          <w:sz w:val="30"/>
          <w:szCs w:val="30"/>
        </w:rPr>
      </w:pPr>
      <w:r>
        <w:rPr>
          <w:rFonts w:ascii="仿宋" w:eastAsia="仿宋" w:hAnsi="仿宋" w:cs="仿宋" w:hint="eastAsia"/>
          <w:sz w:val="30"/>
          <w:szCs w:val="30"/>
        </w:rPr>
        <w:t>报到地点和住宿酒店等安排详见报到通知。</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四、竞赛方式与内容</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楷体" w:eastAsia="楷体" w:hAnsi="楷体" w:cs="仿宋" w:hint="eastAsia"/>
          <w:sz w:val="30"/>
          <w:szCs w:val="30"/>
        </w:rPr>
        <w:t>（一）</w:t>
      </w:r>
      <w:r w:rsidR="009E3F0C">
        <w:rPr>
          <w:rFonts w:ascii="Arial Narrow" w:eastAsia="仿宋_GB2312" w:hAnsi="Arial Narrow" w:cs="Arial" w:hint="eastAsia"/>
          <w:color w:val="000000"/>
          <w:sz w:val="30"/>
          <w:szCs w:val="30"/>
        </w:rPr>
        <w:t>竞赛方式</w:t>
      </w:r>
    </w:p>
    <w:p w:rsidR="00F01006" w:rsidRDefault="00D42733">
      <w:pPr>
        <w:snapToGrid w:val="0"/>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1.竞赛以团体赛方式进行。</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sz w:val="30"/>
          <w:szCs w:val="30"/>
        </w:rPr>
        <w:t>2.每支参赛队由</w:t>
      </w:r>
      <w:r w:rsidR="00995E9E">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名比赛选手组成，不得跨校组队</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楷体" w:eastAsia="楷体" w:hAnsi="楷体" w:cs="仿宋" w:hint="eastAsia"/>
          <w:sz w:val="30"/>
          <w:szCs w:val="30"/>
        </w:rPr>
        <w:lastRenderedPageBreak/>
        <w:t>（二）</w:t>
      </w:r>
      <w:r w:rsidR="009E3F0C">
        <w:rPr>
          <w:rFonts w:ascii="Arial Narrow" w:eastAsia="仿宋_GB2312" w:hAnsi="Arial Narrow" w:cs="Arial" w:hint="eastAsia"/>
          <w:color w:val="000000"/>
          <w:sz w:val="30"/>
          <w:szCs w:val="30"/>
        </w:rPr>
        <w:t>竞赛内容</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整个竞赛任务以当前垃圾分类等生活实际需求背景下人工智能技术应用为背景，参赛选手在成本、场地等限制条件下，选择合理的人机功能模块、合理的识别与分类形式、安装调试人工智能云平台、智能视觉、智能机械臂协作（垃圾分类机器人）构成的人工智能应用智能系统，实现垃圾分类识别、垃圾的分拣等智能化功能。</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竞赛内容包括人工智能开放平台部署、数据标注、模型构建、智能视觉训练、深度学习、协作式机器人编程、系统集成，为未来人工智能无人环境下的智能系统培养人工智能技术工程实施技能人才。通过赛项考核高职自动化类、电子信息类专业学生掌握人工智能开放平台部署、数据标注、模型构建、人工智能硬件集成、人工智能系统开发搭建、智能机器人系统应用、以及多传感器信息综合应用的能力。以及创新能力、团队协作能力等综合职业素养，使得高等职业院校人才培养更接近于实际的企业工作岗位需求。</w:t>
      </w:r>
      <w:r>
        <w:rPr>
          <w:rFonts w:ascii="Arial Narrow" w:eastAsia="仿宋_GB2312" w:hAnsi="Arial Narrow" w:cs="Arial" w:hint="eastAsia"/>
          <w:color w:val="000000"/>
          <w:sz w:val="30"/>
          <w:szCs w:val="30"/>
        </w:rPr>
        <w:t xml:space="preserve"> </w:t>
      </w:r>
    </w:p>
    <w:p w:rsidR="00F01006" w:rsidRDefault="00D42733">
      <w:pPr>
        <w:ind w:firstLineChars="200" w:firstLine="600"/>
        <w:contextualSpacing/>
        <w:rPr>
          <w:rFonts w:ascii="仿宋_GB2312" w:eastAsia="仿宋_GB2312" w:hAnsi="仿宋" w:cs="仿宋"/>
          <w:sz w:val="30"/>
          <w:szCs w:val="30"/>
        </w:rPr>
      </w:pPr>
      <w:r>
        <w:rPr>
          <w:rFonts w:ascii="仿宋_GB2312" w:eastAsia="仿宋_GB2312" w:hAnsi="仿宋" w:cs="仿宋" w:hint="eastAsia"/>
          <w:sz w:val="30"/>
          <w:szCs w:val="30"/>
        </w:rPr>
        <w:t>各竞赛队在3个小时内，独立完成规定的以下竞赛任务：</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任务一系统部署搭建（</w:t>
      </w:r>
      <w:r>
        <w:rPr>
          <w:rFonts w:ascii="Arial Narrow" w:eastAsia="仿宋_GB2312" w:hAnsi="Arial Narrow" w:cs="Arial" w:hint="eastAsia"/>
          <w:color w:val="000000"/>
          <w:sz w:val="30"/>
          <w:szCs w:val="30"/>
        </w:rPr>
        <w:t>20</w:t>
      </w:r>
      <w:r>
        <w:rPr>
          <w:rFonts w:ascii="Arial Narrow" w:eastAsia="仿宋_GB2312" w:hAnsi="Arial Narrow" w:cs="Arial" w:hint="eastAsia"/>
          <w:color w:val="000000"/>
          <w:sz w:val="30"/>
          <w:szCs w:val="30"/>
        </w:rPr>
        <w:t>分）</w:t>
      </w:r>
      <w:r>
        <w:rPr>
          <w:rFonts w:ascii="Arial Narrow" w:eastAsia="仿宋_GB2312" w:hAnsi="Arial Narrow" w:cs="Arial" w:hint="eastAsia"/>
          <w:color w:val="000000"/>
          <w:sz w:val="30"/>
          <w:szCs w:val="30"/>
        </w:rPr>
        <w:tab/>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人工智能系统环境安装与部署</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视觉系统与智能机械臂的集成安装</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分拣传送系统安装</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系统网络搭建连接</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系统安装的工艺质量</w:t>
      </w:r>
    </w:p>
    <w:p w:rsidR="00F01006" w:rsidRDefault="00F01006">
      <w:pPr>
        <w:snapToGrid w:val="0"/>
        <w:spacing w:line="540" w:lineRule="exact"/>
        <w:ind w:firstLineChars="200" w:firstLine="600"/>
        <w:rPr>
          <w:rFonts w:ascii="Arial Narrow" w:eastAsia="仿宋_GB2312" w:hAnsi="Arial Narrow" w:cs="Arial"/>
          <w:color w:val="000000"/>
          <w:sz w:val="30"/>
          <w:szCs w:val="30"/>
        </w:rPr>
      </w:pPr>
    </w:p>
    <w:p w:rsidR="00F01006" w:rsidRDefault="00F01006">
      <w:pPr>
        <w:snapToGrid w:val="0"/>
        <w:spacing w:line="540" w:lineRule="exact"/>
        <w:ind w:firstLineChars="200" w:firstLine="600"/>
        <w:rPr>
          <w:rFonts w:ascii="Arial Narrow" w:eastAsia="仿宋_GB2312" w:hAnsi="Arial Narrow" w:cs="Arial"/>
          <w:color w:val="000000"/>
          <w:sz w:val="30"/>
          <w:szCs w:val="30"/>
        </w:rPr>
      </w:pP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lastRenderedPageBreak/>
        <w:t>任务二人工智能与机器人单元编程与训练实践（</w:t>
      </w:r>
      <w:r>
        <w:rPr>
          <w:rFonts w:ascii="Arial Narrow" w:eastAsia="仿宋_GB2312" w:hAnsi="Arial Narrow" w:cs="Arial" w:hint="eastAsia"/>
          <w:color w:val="000000"/>
          <w:sz w:val="30"/>
          <w:szCs w:val="30"/>
        </w:rPr>
        <w:t>40</w:t>
      </w:r>
      <w:r>
        <w:rPr>
          <w:rFonts w:ascii="Arial Narrow" w:eastAsia="仿宋_GB2312" w:hAnsi="Arial Narrow" w:cs="Arial" w:hint="eastAsia"/>
          <w:color w:val="000000"/>
          <w:sz w:val="30"/>
          <w:szCs w:val="30"/>
        </w:rPr>
        <w:t>分）</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语音识别算法调试与训练</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视觉定位算法调试与训练</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智能机械臂抓取动作学习</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传感器数据采集</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分拣机器人编程</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6.</w:t>
      </w:r>
      <w:r>
        <w:rPr>
          <w:rFonts w:ascii="Arial Narrow" w:eastAsia="仿宋_GB2312" w:hAnsi="Arial Narrow" w:cs="Arial" w:hint="eastAsia"/>
          <w:color w:val="000000"/>
          <w:sz w:val="30"/>
          <w:szCs w:val="30"/>
        </w:rPr>
        <w:t>上料机器人编程</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7.</w:t>
      </w:r>
      <w:r>
        <w:rPr>
          <w:rFonts w:ascii="Arial Narrow" w:eastAsia="仿宋_GB2312" w:hAnsi="Arial Narrow" w:cs="Arial" w:hint="eastAsia"/>
          <w:color w:val="000000"/>
          <w:sz w:val="30"/>
          <w:szCs w:val="30"/>
        </w:rPr>
        <w:t>语音交互后指令下达</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8.</w:t>
      </w:r>
      <w:r>
        <w:rPr>
          <w:rFonts w:ascii="Arial Narrow" w:eastAsia="仿宋_GB2312" w:hAnsi="Arial Narrow" w:cs="Arial" w:hint="eastAsia"/>
          <w:color w:val="000000"/>
          <w:sz w:val="30"/>
          <w:szCs w:val="30"/>
        </w:rPr>
        <w:t>人脸识别身份认证</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9.</w:t>
      </w:r>
      <w:r>
        <w:rPr>
          <w:rFonts w:ascii="Arial Narrow" w:eastAsia="仿宋_GB2312" w:hAnsi="Arial Narrow" w:cs="Arial" w:hint="eastAsia"/>
          <w:color w:val="000000"/>
          <w:sz w:val="30"/>
          <w:szCs w:val="30"/>
        </w:rPr>
        <w:t>垃圾输送系统的</w:t>
      </w:r>
      <w:r>
        <w:rPr>
          <w:rFonts w:ascii="Arial Narrow" w:eastAsia="仿宋_GB2312" w:hAnsi="Arial Narrow" w:cs="Arial" w:hint="eastAsia"/>
          <w:color w:val="000000"/>
          <w:sz w:val="30"/>
          <w:szCs w:val="30"/>
        </w:rPr>
        <w:t>PLC</w:t>
      </w:r>
      <w:r>
        <w:rPr>
          <w:rFonts w:ascii="Arial Narrow" w:eastAsia="仿宋_GB2312" w:hAnsi="Arial Narrow" w:cs="Arial" w:hint="eastAsia"/>
          <w:color w:val="000000"/>
          <w:sz w:val="30"/>
          <w:szCs w:val="30"/>
        </w:rPr>
        <w:t>编程调试</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任务三</w:t>
      </w:r>
      <w:r>
        <w:rPr>
          <w:rFonts w:ascii="Arial Narrow" w:eastAsia="仿宋_GB2312" w:hAnsi="Arial Narrow" w:cs="Arial" w:hint="eastAsia"/>
          <w:color w:val="000000"/>
          <w:sz w:val="30"/>
          <w:szCs w:val="30"/>
        </w:rPr>
        <w:t xml:space="preserve"> </w:t>
      </w:r>
      <w:r>
        <w:rPr>
          <w:rFonts w:ascii="Arial Narrow" w:eastAsia="仿宋_GB2312" w:hAnsi="Arial Narrow" w:cs="Arial" w:hint="eastAsia"/>
          <w:color w:val="000000"/>
          <w:sz w:val="30"/>
          <w:szCs w:val="30"/>
        </w:rPr>
        <w:t>系统编程与调试（</w:t>
      </w:r>
      <w:r>
        <w:rPr>
          <w:rFonts w:ascii="Arial Narrow" w:eastAsia="仿宋_GB2312" w:hAnsi="Arial Narrow" w:cs="Arial" w:hint="eastAsia"/>
          <w:color w:val="000000"/>
          <w:sz w:val="30"/>
          <w:szCs w:val="30"/>
        </w:rPr>
        <w:t>15</w:t>
      </w:r>
      <w:r>
        <w:rPr>
          <w:rFonts w:ascii="Arial Narrow" w:eastAsia="仿宋_GB2312" w:hAnsi="Arial Narrow" w:cs="Arial" w:hint="eastAsia"/>
          <w:color w:val="000000"/>
          <w:sz w:val="30"/>
          <w:szCs w:val="30"/>
        </w:rPr>
        <w:t>分）</w:t>
      </w:r>
      <w:r>
        <w:rPr>
          <w:rFonts w:ascii="Arial Narrow" w:eastAsia="仿宋_GB2312" w:hAnsi="Arial Narrow" w:cs="Arial" w:hint="eastAsia"/>
          <w:color w:val="000000"/>
          <w:sz w:val="30"/>
          <w:szCs w:val="30"/>
        </w:rPr>
        <w:tab/>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1.PC</w:t>
      </w:r>
      <w:r>
        <w:rPr>
          <w:rFonts w:ascii="Arial Narrow" w:eastAsia="仿宋_GB2312" w:hAnsi="Arial Narrow" w:cs="Arial" w:hint="eastAsia"/>
          <w:color w:val="000000"/>
          <w:sz w:val="30"/>
          <w:szCs w:val="30"/>
        </w:rPr>
        <w:t>与</w:t>
      </w:r>
      <w:r>
        <w:rPr>
          <w:rFonts w:ascii="Arial Narrow" w:eastAsia="仿宋_GB2312" w:hAnsi="Arial Narrow" w:cs="Arial" w:hint="eastAsia"/>
          <w:color w:val="000000"/>
          <w:sz w:val="30"/>
          <w:szCs w:val="30"/>
        </w:rPr>
        <w:t>PLC</w:t>
      </w:r>
      <w:r>
        <w:rPr>
          <w:rFonts w:ascii="Arial Narrow" w:eastAsia="仿宋_GB2312" w:hAnsi="Arial Narrow" w:cs="Arial" w:hint="eastAsia"/>
          <w:color w:val="000000"/>
          <w:sz w:val="30"/>
          <w:szCs w:val="30"/>
        </w:rPr>
        <w:t>系统通讯的编程与调试</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调试模式下单次命令系统运行</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自动模式下连续分拣系统运行</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任务四</w:t>
      </w:r>
      <w:r>
        <w:rPr>
          <w:rFonts w:ascii="Arial Narrow" w:eastAsia="仿宋_GB2312" w:hAnsi="Arial Narrow" w:cs="Arial" w:hint="eastAsia"/>
          <w:color w:val="000000"/>
          <w:sz w:val="30"/>
          <w:szCs w:val="30"/>
        </w:rPr>
        <w:t xml:space="preserve"> </w:t>
      </w:r>
      <w:r>
        <w:rPr>
          <w:rFonts w:ascii="Arial Narrow" w:eastAsia="仿宋_GB2312" w:hAnsi="Arial Narrow" w:cs="Arial" w:hint="eastAsia"/>
          <w:color w:val="000000"/>
          <w:sz w:val="30"/>
          <w:szCs w:val="30"/>
        </w:rPr>
        <w:t>系统任务完成情况（</w:t>
      </w:r>
      <w:r>
        <w:rPr>
          <w:rFonts w:ascii="Arial Narrow" w:eastAsia="仿宋_GB2312" w:hAnsi="Arial Narrow" w:cs="Arial" w:hint="eastAsia"/>
          <w:color w:val="000000"/>
          <w:sz w:val="30"/>
          <w:szCs w:val="30"/>
        </w:rPr>
        <w:t>15</w:t>
      </w:r>
      <w:r>
        <w:rPr>
          <w:rFonts w:ascii="Arial Narrow" w:eastAsia="仿宋_GB2312" w:hAnsi="Arial Narrow" w:cs="Arial" w:hint="eastAsia"/>
          <w:color w:val="000000"/>
          <w:sz w:val="30"/>
          <w:szCs w:val="30"/>
        </w:rPr>
        <w:t>分）</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智能协作机械臂分拣垃圾的准确率</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智能协作机械臂异常情况下分拣垃圾的准确率</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完成所有分拣任务的时间效率</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另外从五个方面考察参赛学生的职业素养，合计</w:t>
      </w:r>
      <w:r>
        <w:rPr>
          <w:rFonts w:ascii="Arial Narrow" w:eastAsia="仿宋_GB2312" w:hAnsi="Arial Narrow" w:cs="Arial" w:hint="eastAsia"/>
          <w:color w:val="000000"/>
          <w:sz w:val="30"/>
          <w:szCs w:val="30"/>
        </w:rPr>
        <w:t>10</w:t>
      </w:r>
      <w:r>
        <w:rPr>
          <w:rFonts w:ascii="Arial Narrow" w:eastAsia="仿宋_GB2312" w:hAnsi="Arial Narrow" w:cs="Arial" w:hint="eastAsia"/>
          <w:color w:val="000000"/>
          <w:sz w:val="30"/>
          <w:szCs w:val="30"/>
        </w:rPr>
        <w:t>分。</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技术应用合理性</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工具操作规范性</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耗材使用环保性</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现场安全、文明</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5.5S</w:t>
      </w:r>
      <w:r>
        <w:rPr>
          <w:rFonts w:ascii="Arial Narrow" w:eastAsia="仿宋_GB2312" w:hAnsi="Arial Narrow" w:cs="Arial" w:hint="eastAsia"/>
          <w:color w:val="000000"/>
          <w:sz w:val="30"/>
          <w:szCs w:val="30"/>
        </w:rPr>
        <w:t>管理</w:t>
      </w:r>
    </w:p>
    <w:p w:rsidR="00F01006" w:rsidRDefault="00F01006">
      <w:pPr>
        <w:pStyle w:val="a3"/>
        <w:spacing w:line="540" w:lineRule="exact"/>
        <w:ind w:firstLine="585"/>
        <w:rPr>
          <w:rFonts w:ascii="Arial Narrow" w:eastAsia="仿宋_GB2312" w:hAnsi="Arial Narrow" w:cs="Arial"/>
          <w:b/>
          <w:bCs/>
          <w:color w:val="000000"/>
          <w:sz w:val="30"/>
          <w:szCs w:val="30"/>
        </w:rPr>
      </w:pPr>
    </w:p>
    <w:p w:rsidR="00F01006" w:rsidRDefault="00D42733">
      <w:pPr>
        <w:pStyle w:val="a3"/>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lastRenderedPageBreak/>
        <w:t>五、竞赛规则</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（一）参赛选手报名</w:t>
      </w:r>
    </w:p>
    <w:p w:rsidR="00F01006" w:rsidRDefault="00D42733">
      <w:pPr>
        <w:pStyle w:val="a3"/>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参赛选手填写报名表（见附件），并加盖学校公章。</w:t>
      </w:r>
    </w:p>
    <w:p w:rsidR="00F01006" w:rsidRDefault="005C3A25" w:rsidP="00995E9E">
      <w:pPr>
        <w:pStyle w:val="a3"/>
        <w:spacing w:line="540" w:lineRule="exact"/>
        <w:ind w:firstLineChars="200" w:firstLine="400"/>
        <w:rPr>
          <w:rFonts w:ascii="Arial Narrow" w:eastAsia="仿宋_GB2312" w:hAnsi="Arial Narrow" w:cs="Arial"/>
          <w:color w:val="000000"/>
          <w:sz w:val="30"/>
          <w:szCs w:val="30"/>
        </w:rPr>
      </w:pPr>
      <w:hyperlink r:id="rId8" w:history="1">
        <w:r w:rsidR="00D42733">
          <w:rPr>
            <w:rFonts w:ascii="Arial Narrow" w:eastAsia="仿宋_GB2312" w:hAnsi="Arial Narrow" w:cs="Arial" w:hint="eastAsia"/>
            <w:color w:val="000000"/>
            <w:sz w:val="30"/>
            <w:szCs w:val="30"/>
          </w:rPr>
          <w:t>电子版同时发送至</w:t>
        </w:r>
        <w:r w:rsidR="00D42733">
          <w:rPr>
            <w:rFonts w:ascii="Arial Narrow" w:eastAsia="仿宋_GB2312" w:hAnsi="Arial Narrow" w:cs="Arial" w:hint="eastAsia"/>
            <w:color w:val="000000"/>
            <w:sz w:val="30"/>
            <w:szCs w:val="30"/>
          </w:rPr>
          <w:t>dqdz666@126.com</w:t>
        </w:r>
        <w:r w:rsidR="00D42733">
          <w:rPr>
            <w:rFonts w:ascii="Arial Narrow" w:eastAsia="仿宋_GB2312" w:hAnsi="Arial Narrow" w:cs="Arial" w:hint="eastAsia"/>
            <w:color w:val="000000"/>
            <w:sz w:val="30"/>
            <w:szCs w:val="30"/>
          </w:rPr>
          <w:t>和</w:t>
        </w:r>
        <w:r w:rsidR="00D42733">
          <w:rPr>
            <w:rFonts w:ascii="Arial Narrow" w:eastAsia="仿宋_GB2312" w:hAnsi="Arial Narrow" w:cs="Arial" w:hint="eastAsia"/>
            <w:color w:val="000000"/>
            <w:sz w:val="30"/>
            <w:szCs w:val="30"/>
          </w:rPr>
          <w:t>421052284@qq.com</w:t>
        </w:r>
        <w:r w:rsidR="00D42733">
          <w:rPr>
            <w:rFonts w:ascii="Arial Narrow" w:eastAsia="仿宋_GB2312" w:hAnsi="Arial Narrow" w:cs="Arial" w:hint="eastAsia"/>
            <w:color w:val="000000"/>
            <w:sz w:val="30"/>
            <w:szCs w:val="30"/>
          </w:rPr>
          <w:t>；</w:t>
        </w:r>
      </w:hyperlink>
    </w:p>
    <w:p w:rsidR="00F01006" w:rsidRDefault="00D42733">
      <w:pPr>
        <w:pStyle w:val="a3"/>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纸质版寄送至：湖北省武汉市东湖新技术开发区花城大道武汉软件新城花城汇</w:t>
      </w: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号楼</w:t>
      </w:r>
      <w:r>
        <w:rPr>
          <w:rFonts w:ascii="Arial Narrow" w:eastAsia="仿宋_GB2312" w:hAnsi="Arial Narrow" w:cs="Arial" w:hint="eastAsia"/>
          <w:color w:val="000000"/>
          <w:sz w:val="30"/>
          <w:szCs w:val="30"/>
        </w:rPr>
        <w:t>602</w:t>
      </w:r>
      <w:r>
        <w:rPr>
          <w:rFonts w:ascii="Arial Narrow" w:eastAsia="仿宋_GB2312" w:hAnsi="Arial Narrow" w:cs="Arial" w:hint="eastAsia"/>
          <w:color w:val="000000"/>
          <w:sz w:val="30"/>
          <w:szCs w:val="30"/>
        </w:rPr>
        <w:t>室，王璐，</w:t>
      </w:r>
      <w:r>
        <w:rPr>
          <w:rFonts w:ascii="Arial Narrow" w:eastAsia="仿宋_GB2312" w:hAnsi="Arial Narrow" w:cs="Arial" w:hint="eastAsia"/>
          <w:color w:val="000000"/>
          <w:sz w:val="30"/>
          <w:szCs w:val="30"/>
        </w:rPr>
        <w:t>13600439251</w:t>
      </w:r>
      <w:r>
        <w:rPr>
          <w:rFonts w:ascii="Arial Narrow" w:eastAsia="仿宋_GB2312" w:hAnsi="Arial Narrow" w:cs="Arial" w:hint="eastAsia"/>
          <w:color w:val="000000"/>
          <w:sz w:val="30"/>
          <w:szCs w:val="30"/>
        </w:rPr>
        <w:t>。</w:t>
      </w:r>
    </w:p>
    <w:p w:rsidR="00F01006" w:rsidRDefault="00D42733">
      <w:pPr>
        <w:pStyle w:val="a3"/>
        <w:numPr>
          <w:ilvl w:val="0"/>
          <w:numId w:val="1"/>
        </w:numPr>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熟悉场地与领队会</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赛前一天安排领队会和参赛选手熟悉竞赛场地。竞赛需采取多场次进行，由赛项执委会按照竞赛日程表组织各领队参加领队会和公开抽签，确定各队参赛场次。</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参赛队按照抽签确定的参赛时段分批次进入比赛场地参赛。同一个省市有两个以上参赛队参加比赛，通过抽签，安排在同一场次参赛。东道主队安排在首场比赛。</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赛场的赛位统一编制赛位号，参赛队比赛前</w:t>
      </w:r>
      <w:r>
        <w:rPr>
          <w:rFonts w:ascii="Arial Narrow" w:eastAsia="仿宋_GB2312" w:hAnsi="Arial Narrow" w:cs="Arial" w:hint="eastAsia"/>
          <w:color w:val="000000"/>
          <w:sz w:val="30"/>
          <w:szCs w:val="30"/>
        </w:rPr>
        <w:t xml:space="preserve"> 30 </w:t>
      </w:r>
      <w:r>
        <w:rPr>
          <w:rFonts w:ascii="Arial Narrow" w:eastAsia="仿宋_GB2312" w:hAnsi="Arial Narrow" w:cs="Arial" w:hint="eastAsia"/>
          <w:color w:val="000000"/>
          <w:sz w:val="30"/>
          <w:szCs w:val="30"/>
        </w:rPr>
        <w:t>分钟到赛项指定地点接受检录，进场前</w:t>
      </w:r>
      <w:r>
        <w:rPr>
          <w:rFonts w:ascii="Arial Narrow" w:eastAsia="仿宋_GB2312" w:hAnsi="Arial Narrow" w:cs="Arial" w:hint="eastAsia"/>
          <w:color w:val="000000"/>
          <w:sz w:val="30"/>
          <w:szCs w:val="30"/>
        </w:rPr>
        <w:t xml:space="preserve"> 15 </w:t>
      </w:r>
      <w:r>
        <w:rPr>
          <w:rFonts w:ascii="Arial Narrow" w:eastAsia="仿宋_GB2312" w:hAnsi="Arial Narrow" w:cs="Arial" w:hint="eastAsia"/>
          <w:color w:val="000000"/>
          <w:sz w:val="30"/>
          <w:szCs w:val="30"/>
        </w:rPr>
        <w:t>分钟抽签决定赛位号，抽签结束后，随即按照抽取的赛位号进场，然后在对应的赛位上完成竞赛规定的工作任务。赛位号由参赛选手抽取，</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抽取赛位号的步聚：</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抽签由赛场工作人员主持；</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参赛选手随机抽取赛位号，并在赛位记录单上签名确认；</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赛位号不对外公布，抽签结果由赛项办公室密封后统一保管，在评分结束后开封统计成绩。</w:t>
      </w:r>
    </w:p>
    <w:p w:rsidR="00F01006" w:rsidRDefault="00F01006">
      <w:pPr>
        <w:pStyle w:val="a3"/>
        <w:spacing w:line="540" w:lineRule="exact"/>
        <w:rPr>
          <w:rFonts w:ascii="Arial Narrow" w:eastAsia="仿宋_GB2312" w:hAnsi="Arial Narrow" w:cs="Arial"/>
          <w:color w:val="000000"/>
          <w:sz w:val="30"/>
          <w:szCs w:val="30"/>
        </w:rPr>
      </w:pP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（三）比赛入场</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参赛选手持参赛证、身份证、学生证按正式比赛开始时间</w:t>
      </w:r>
      <w:r>
        <w:rPr>
          <w:rFonts w:ascii="Arial Narrow" w:eastAsia="仿宋_GB2312" w:hAnsi="Arial Narrow" w:cs="Arial" w:hint="eastAsia"/>
          <w:color w:val="000000"/>
          <w:sz w:val="30"/>
          <w:szCs w:val="30"/>
        </w:rPr>
        <w:lastRenderedPageBreak/>
        <w:t>提前</w:t>
      </w:r>
      <w:r>
        <w:rPr>
          <w:rFonts w:ascii="Arial Narrow" w:eastAsia="仿宋_GB2312" w:hAnsi="Arial Narrow" w:cs="Arial" w:hint="eastAsia"/>
          <w:color w:val="000000"/>
          <w:sz w:val="30"/>
          <w:szCs w:val="30"/>
        </w:rPr>
        <w:t xml:space="preserve"> 30 </w:t>
      </w:r>
      <w:r>
        <w:rPr>
          <w:rFonts w:ascii="Arial Narrow" w:eastAsia="仿宋_GB2312" w:hAnsi="Arial Narrow" w:cs="Arial" w:hint="eastAsia"/>
          <w:color w:val="000000"/>
          <w:sz w:val="30"/>
          <w:szCs w:val="30"/>
        </w:rPr>
        <w:t>分钟准时到达赛场集合，赛前</w:t>
      </w:r>
      <w:r>
        <w:rPr>
          <w:rFonts w:ascii="Arial Narrow" w:eastAsia="仿宋_GB2312" w:hAnsi="Arial Narrow" w:cs="Arial" w:hint="eastAsia"/>
          <w:color w:val="000000"/>
          <w:sz w:val="30"/>
          <w:szCs w:val="30"/>
        </w:rPr>
        <w:t xml:space="preserve"> 15 </w:t>
      </w:r>
      <w:r>
        <w:rPr>
          <w:rFonts w:ascii="Arial Narrow" w:eastAsia="仿宋_GB2312" w:hAnsi="Arial Narrow" w:cs="Arial" w:hint="eastAsia"/>
          <w:color w:val="000000"/>
          <w:sz w:val="30"/>
          <w:szCs w:val="30"/>
        </w:rPr>
        <w:t>分钟抽取赛位号，选手按赛位号进场进行各项准备工作，现场裁判将对各参选手的身份进行核对。选手在比赛开始</w:t>
      </w:r>
      <w:r>
        <w:rPr>
          <w:rFonts w:ascii="Arial Narrow" w:eastAsia="仿宋_GB2312" w:hAnsi="Arial Narrow" w:cs="Arial" w:hint="eastAsia"/>
          <w:color w:val="000000"/>
          <w:sz w:val="30"/>
          <w:szCs w:val="30"/>
        </w:rPr>
        <w:t xml:space="preserve"> 15 </w:t>
      </w:r>
      <w:r>
        <w:rPr>
          <w:rFonts w:ascii="Arial Narrow" w:eastAsia="仿宋_GB2312" w:hAnsi="Arial Narrow" w:cs="Arial" w:hint="eastAsia"/>
          <w:color w:val="000000"/>
          <w:sz w:val="30"/>
          <w:szCs w:val="30"/>
        </w:rPr>
        <w:t>分钟后不得入场，比赛结束前</w:t>
      </w:r>
      <w:r>
        <w:rPr>
          <w:rFonts w:ascii="Arial Narrow" w:eastAsia="仿宋_GB2312" w:hAnsi="Arial Narrow" w:cs="Arial" w:hint="eastAsia"/>
          <w:color w:val="000000"/>
          <w:sz w:val="30"/>
          <w:szCs w:val="30"/>
        </w:rPr>
        <w:t xml:space="preserve"> 30 </w:t>
      </w:r>
      <w:r>
        <w:rPr>
          <w:rFonts w:ascii="Arial Narrow" w:eastAsia="仿宋_GB2312" w:hAnsi="Arial Narrow" w:cs="Arial" w:hint="eastAsia"/>
          <w:color w:val="000000"/>
          <w:sz w:val="30"/>
          <w:szCs w:val="30"/>
        </w:rPr>
        <w:t>分钟内才允许提前离场。</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除规定的量具或其他物品外，参赛选手不允许携带任何通讯及存储设备、纸质材料等物品进入赛场，赛场内提供比赛必备用品。赛场不提供网络环境。</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（四）比赛过程</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比赛过程中需要咨询时应举手表示。各参赛队可以根据竞赛需要选择使用现场提供的设备、仪器、工具，以及规定的自带工具。因设备自身故障导致选手中断比赛，由大赛裁判长视具体情况做出裁决。若参赛队提前结束竞赛，应举手向裁判员示意，比赛结束时间由裁判员记录，参赛队结束比赛后不得再进行任何操作。裁判员在比赛结果的规定装置做标记，并与参赛队一起签字确认。比赛结束，参赛队须完成现场清理并经裁判员同意后方可离开。</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选手进入赛场必须听从现场裁判人员的统一布置和指挥，首先需对比赛设备、选配部件、工量具等物品进行检查和测试，如有问题及时向裁判人员报告。</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参赛选手必须在裁判宣布比赛开始后才能进行比赛。</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参赛选手所携带进入赛场的参赛证件和其它物品，现场裁判员有权进行检验和核准。</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比赛过程中选手不得随意离开赛位范围，不得与其它选手交流或擅自离开赛场。如遇问题时须举手向裁判员示意询问后处理，否则按作弊行为处理。</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lastRenderedPageBreak/>
        <w:t>6.</w:t>
      </w:r>
      <w:r>
        <w:rPr>
          <w:rFonts w:ascii="Arial Narrow" w:eastAsia="仿宋_GB2312" w:hAnsi="Arial Narrow" w:cs="Arial" w:hint="eastAsia"/>
          <w:color w:val="000000"/>
          <w:sz w:val="30"/>
          <w:szCs w:val="30"/>
        </w:rPr>
        <w:t>在比赛过程中只允许裁判员、工作人员进入现场，其余人员（包括领队、指导教师和其他参赛选手）未经组委会同意不得进入赛场。</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7.</w:t>
      </w:r>
      <w:r>
        <w:rPr>
          <w:rFonts w:ascii="Arial Narrow" w:eastAsia="仿宋_GB2312" w:hAnsi="Arial Narrow" w:cs="Arial" w:hint="eastAsia"/>
          <w:color w:val="000000"/>
          <w:sz w:val="30"/>
          <w:szCs w:val="30"/>
        </w:rPr>
        <w:t>比赛过程中，选手必须严格遵守安全操作规程，确保人身和设备安全，并接受现场裁判和技术人员的监督和警示。因选手造成设备故障或损坏，无法继续比赛，裁判长有权决定终止比赛。因非选手个人因素造成设备故障，由裁判长视具体情况做出裁决（暂停竞赛计时或调整至最后一批次参加竞赛）。如果确定为设备故障问题，裁判长将酌情给与补时。</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（五）比赛结束</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在比赛结束前</w:t>
      </w:r>
      <w:r>
        <w:rPr>
          <w:rFonts w:ascii="Arial Narrow" w:eastAsia="仿宋_GB2312" w:hAnsi="Arial Narrow" w:cs="Arial" w:hint="eastAsia"/>
          <w:color w:val="000000"/>
          <w:sz w:val="30"/>
          <w:szCs w:val="30"/>
        </w:rPr>
        <w:t xml:space="preserve"> 15 </w:t>
      </w:r>
      <w:r>
        <w:rPr>
          <w:rFonts w:ascii="Arial Narrow" w:eastAsia="仿宋_GB2312" w:hAnsi="Arial Narrow" w:cs="Arial" w:hint="eastAsia"/>
          <w:color w:val="000000"/>
          <w:sz w:val="30"/>
          <w:szCs w:val="30"/>
        </w:rPr>
        <w:t>分钟，裁判长提醒比赛即将结束，选手应做好结束准备，结束哨声响起时，宣布比赛正式结束，选手必须停止一切操作。</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参赛队若提前结束竞赛，应由选手向裁判员举手示意，竞赛终止时间由裁判员记录，参赛队结束竞赛后不得再进行任何操作。</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比赛结束后，选手应立即上交答题纸、工艺文件和比赛任务书等，做好比赛设备的整理工作，包括设备移动部件的复位，归还工具，整理个人物品。</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参赛选手不得将比赛任务书、图纸、草稿纸和工具等与比赛有关的物品带离赛场，选手必须经现场裁判员检查许可后方能离开赛场。</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参赛队需按照竞赛要求提交竞赛结果，裁判员与参赛选手一起签字确认。</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六、技术规范</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hint="eastAsia"/>
          <w:sz w:val="30"/>
          <w:szCs w:val="30"/>
        </w:rPr>
        <w:lastRenderedPageBreak/>
        <w:t>赛项参考制造大类自动化技术类、电子信息大类电子信息类相关专业的教学标准和专业课程标准，对接教学实施内容。</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（一）相关知识与技能</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机械与电气调试</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2.</w:t>
      </w:r>
      <w:r>
        <w:rPr>
          <w:rFonts w:ascii="Arial Narrow" w:eastAsia="仿宋_GB2312" w:hAnsi="Arial Narrow" w:cs="Arial" w:hint="eastAsia"/>
          <w:sz w:val="30"/>
          <w:szCs w:val="30"/>
        </w:rPr>
        <w:t>传感器及智能视觉检测</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3.</w:t>
      </w:r>
      <w:r>
        <w:rPr>
          <w:rFonts w:ascii="Arial Narrow" w:eastAsia="仿宋_GB2312" w:hAnsi="Arial Narrow" w:cs="Arial" w:hint="eastAsia"/>
          <w:sz w:val="30"/>
          <w:szCs w:val="30"/>
        </w:rPr>
        <w:t>机器人技术</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4.</w:t>
      </w:r>
      <w:r>
        <w:rPr>
          <w:rFonts w:ascii="Arial Narrow" w:eastAsia="仿宋_GB2312" w:hAnsi="Arial Narrow" w:cs="Arial" w:hint="eastAsia"/>
          <w:sz w:val="30"/>
          <w:szCs w:val="30"/>
        </w:rPr>
        <w:t>网络技术</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5.</w:t>
      </w:r>
      <w:r>
        <w:rPr>
          <w:rFonts w:ascii="Arial Narrow" w:eastAsia="仿宋_GB2312" w:hAnsi="Arial Narrow" w:cs="Arial" w:hint="eastAsia"/>
          <w:sz w:val="30"/>
          <w:szCs w:val="30"/>
        </w:rPr>
        <w:t>智能控制技术</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6.</w:t>
      </w:r>
      <w:r>
        <w:rPr>
          <w:rFonts w:ascii="Arial Narrow" w:eastAsia="仿宋_GB2312" w:hAnsi="Arial Narrow" w:cs="Arial" w:hint="eastAsia"/>
          <w:sz w:val="30"/>
          <w:szCs w:val="30"/>
        </w:rPr>
        <w:t>软件工程技术</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7.</w:t>
      </w:r>
      <w:r>
        <w:rPr>
          <w:rFonts w:ascii="Arial Narrow" w:eastAsia="仿宋_GB2312" w:hAnsi="Arial Narrow" w:cs="Arial" w:hint="eastAsia"/>
          <w:sz w:val="30"/>
          <w:szCs w:val="30"/>
        </w:rPr>
        <w:t>人工智能技术应用</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8</w:t>
      </w:r>
      <w:r>
        <w:rPr>
          <w:rFonts w:ascii="Arial Narrow" w:eastAsia="仿宋_GB2312" w:hAnsi="Arial Narrow" w:cs="Arial"/>
          <w:sz w:val="30"/>
          <w:szCs w:val="30"/>
        </w:rPr>
        <w:t>.</w:t>
      </w:r>
      <w:r>
        <w:rPr>
          <w:rFonts w:ascii="Arial Narrow" w:eastAsia="仿宋_GB2312" w:hAnsi="Arial Narrow" w:cs="Arial" w:hint="eastAsia"/>
          <w:sz w:val="30"/>
          <w:szCs w:val="30"/>
        </w:rPr>
        <w:t>语音识别和关键字识别技术应用能力</w:t>
      </w:r>
      <w:r>
        <w:rPr>
          <w:rFonts w:ascii="Arial Narrow" w:eastAsia="仿宋_GB2312" w:hAnsi="Arial Narrow" w:cs="Arial" w:hint="eastAsia"/>
          <w:sz w:val="30"/>
          <w:szCs w:val="30"/>
        </w:rPr>
        <w:t xml:space="preserve"> </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9.</w:t>
      </w:r>
      <w:r>
        <w:rPr>
          <w:rFonts w:ascii="Arial Narrow" w:eastAsia="仿宋_GB2312" w:hAnsi="Arial Narrow" w:cs="Arial" w:hint="eastAsia"/>
          <w:sz w:val="30"/>
          <w:szCs w:val="30"/>
        </w:rPr>
        <w:t>计算机软件开发应用能力</w:t>
      </w:r>
      <w:r>
        <w:rPr>
          <w:rFonts w:ascii="Arial Narrow" w:eastAsia="仿宋_GB2312" w:hAnsi="Arial Narrow" w:cs="Arial" w:hint="eastAsia"/>
          <w:sz w:val="30"/>
          <w:szCs w:val="30"/>
        </w:rPr>
        <w:t xml:space="preserve"> </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10.</w:t>
      </w:r>
      <w:r>
        <w:rPr>
          <w:rFonts w:ascii="Arial Narrow" w:eastAsia="仿宋_GB2312" w:hAnsi="Arial Narrow" w:cs="Arial" w:hint="eastAsia"/>
          <w:sz w:val="30"/>
          <w:szCs w:val="30"/>
        </w:rPr>
        <w:t>计算机通信应用能力</w:t>
      </w:r>
      <w:r>
        <w:rPr>
          <w:rFonts w:ascii="Arial Narrow" w:eastAsia="仿宋_GB2312" w:hAnsi="Arial Narrow" w:cs="Arial" w:hint="eastAsia"/>
          <w:sz w:val="30"/>
          <w:szCs w:val="30"/>
        </w:rPr>
        <w:t xml:space="preserve"> </w:t>
      </w:r>
    </w:p>
    <w:p w:rsidR="00F01006" w:rsidRDefault="00D42733">
      <w:pPr>
        <w:ind w:firstLineChars="200" w:firstLine="600"/>
        <w:contextualSpacing/>
        <w:outlineLvl w:val="2"/>
        <w:rPr>
          <w:rFonts w:ascii="Arial Narrow" w:eastAsia="仿宋_GB2312" w:hAnsi="Arial Narrow" w:cs="Arial"/>
          <w:sz w:val="30"/>
          <w:szCs w:val="30"/>
        </w:rPr>
      </w:pPr>
      <w:r>
        <w:rPr>
          <w:rFonts w:ascii="Arial Narrow" w:eastAsia="仿宋_GB2312" w:hAnsi="Arial Narrow" w:cs="Arial" w:hint="eastAsia"/>
          <w:sz w:val="30"/>
          <w:szCs w:val="30"/>
        </w:rPr>
        <w:t>11</w:t>
      </w:r>
      <w:r>
        <w:rPr>
          <w:rFonts w:ascii="Arial Narrow" w:eastAsia="仿宋_GB2312" w:hAnsi="Arial Narrow" w:cs="Arial"/>
          <w:sz w:val="30"/>
          <w:szCs w:val="30"/>
        </w:rPr>
        <w:t>.</w:t>
      </w:r>
      <w:r>
        <w:rPr>
          <w:rFonts w:ascii="Arial Narrow" w:eastAsia="仿宋_GB2312" w:hAnsi="Arial Narrow" w:cs="Arial" w:hint="eastAsia"/>
          <w:sz w:val="30"/>
          <w:szCs w:val="30"/>
        </w:rPr>
        <w:t>无线网络通信与控制技术应用能力</w:t>
      </w:r>
      <w:r>
        <w:rPr>
          <w:rFonts w:ascii="Arial Narrow" w:eastAsia="仿宋_GB2312" w:hAnsi="Arial Narrow" w:cs="Arial" w:hint="eastAsia"/>
          <w:sz w:val="30"/>
          <w:szCs w:val="30"/>
        </w:rPr>
        <w:t xml:space="preserve"> </w:t>
      </w:r>
    </w:p>
    <w:p w:rsidR="00F01006" w:rsidRDefault="00D42733">
      <w:pPr>
        <w:pStyle w:val="3"/>
      </w:pPr>
      <w:r>
        <w:rPr>
          <w:rFonts w:hint="eastAsia"/>
        </w:rPr>
        <w:t>（二）技术标准</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sz w:val="30"/>
          <w:szCs w:val="30"/>
        </w:rPr>
        <w:t>1.</w:t>
      </w:r>
      <w:r>
        <w:rPr>
          <w:rFonts w:ascii="Arial Narrow" w:eastAsia="仿宋_GB2312" w:hAnsi="Arial Narrow"/>
          <w:sz w:val="30"/>
          <w:szCs w:val="30"/>
        </w:rPr>
        <w:t>信息技术</w:t>
      </w:r>
      <w:r>
        <w:rPr>
          <w:rFonts w:ascii="Arial Narrow" w:eastAsia="仿宋_GB2312" w:hAnsi="Arial Narrow"/>
          <w:sz w:val="30"/>
          <w:szCs w:val="30"/>
        </w:rPr>
        <w:t xml:space="preserve"> </w:t>
      </w:r>
      <w:r>
        <w:rPr>
          <w:rFonts w:ascii="Arial Narrow" w:eastAsia="仿宋_GB2312" w:hAnsi="Arial Narrow"/>
          <w:sz w:val="30"/>
          <w:szCs w:val="30"/>
        </w:rPr>
        <w:t>生物特征样本质量</w:t>
      </w:r>
      <w:r>
        <w:rPr>
          <w:rFonts w:ascii="Arial Narrow" w:eastAsia="仿宋_GB2312" w:hAnsi="Arial Narrow"/>
          <w:sz w:val="30"/>
          <w:szCs w:val="30"/>
        </w:rPr>
        <w:t xml:space="preserve"> </w:t>
      </w:r>
      <w:r>
        <w:rPr>
          <w:rFonts w:ascii="Arial Narrow" w:eastAsia="仿宋_GB2312" w:hAnsi="Arial Narrow"/>
          <w:sz w:val="30"/>
          <w:szCs w:val="30"/>
        </w:rPr>
        <w:t>第</w:t>
      </w:r>
      <w:r>
        <w:rPr>
          <w:rFonts w:ascii="Arial Narrow" w:eastAsia="仿宋_GB2312" w:hAnsi="Arial Narrow"/>
          <w:sz w:val="30"/>
          <w:szCs w:val="30"/>
        </w:rPr>
        <w:t>4</w:t>
      </w:r>
      <w:r>
        <w:rPr>
          <w:rFonts w:ascii="Arial Narrow" w:eastAsia="仿宋_GB2312" w:hAnsi="Arial Narrow"/>
          <w:sz w:val="30"/>
          <w:szCs w:val="30"/>
        </w:rPr>
        <w:t>部分：指纹图像数据，</w:t>
      </w:r>
      <w:r>
        <w:rPr>
          <w:rFonts w:ascii="Arial Narrow" w:eastAsia="仿宋_GB2312" w:hAnsi="Arial Narrow"/>
          <w:sz w:val="30"/>
          <w:szCs w:val="30"/>
        </w:rPr>
        <w:t>GB/T 33767.4-2018</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t>2.</w:t>
      </w:r>
      <w:r>
        <w:rPr>
          <w:rFonts w:ascii="Arial Narrow" w:eastAsia="仿宋_GB2312" w:hAnsi="Arial Narrow"/>
          <w:sz w:val="30"/>
          <w:szCs w:val="30"/>
        </w:rPr>
        <w:t>信息技术</w:t>
      </w:r>
      <w:r>
        <w:rPr>
          <w:rFonts w:ascii="Arial Narrow" w:eastAsia="仿宋_GB2312" w:hAnsi="Arial Narrow"/>
          <w:sz w:val="30"/>
          <w:szCs w:val="30"/>
        </w:rPr>
        <w:t xml:space="preserve"> GB/T 26237</w:t>
      </w:r>
      <w:r>
        <w:rPr>
          <w:rFonts w:ascii="Arial Narrow" w:eastAsia="仿宋_GB2312" w:hAnsi="Arial Narrow"/>
          <w:sz w:val="30"/>
          <w:szCs w:val="30"/>
        </w:rPr>
        <w:t>中定义的生物特征数据交换格式的符合性测试方法</w:t>
      </w:r>
      <w:r>
        <w:rPr>
          <w:rFonts w:ascii="Arial Narrow" w:eastAsia="仿宋_GB2312" w:hAnsi="Arial Narrow"/>
          <w:sz w:val="30"/>
          <w:szCs w:val="30"/>
        </w:rPr>
        <w:t xml:space="preserve"> </w:t>
      </w:r>
      <w:r>
        <w:rPr>
          <w:rFonts w:ascii="Arial Narrow" w:eastAsia="仿宋_GB2312" w:hAnsi="Arial Narrow"/>
          <w:sz w:val="30"/>
          <w:szCs w:val="30"/>
        </w:rPr>
        <w:t>第</w:t>
      </w:r>
      <w:r>
        <w:rPr>
          <w:rFonts w:ascii="Arial Narrow" w:eastAsia="仿宋_GB2312" w:hAnsi="Arial Narrow"/>
          <w:sz w:val="30"/>
          <w:szCs w:val="30"/>
        </w:rPr>
        <w:t>5</w:t>
      </w:r>
      <w:r>
        <w:rPr>
          <w:rFonts w:ascii="Arial Narrow" w:eastAsia="仿宋_GB2312" w:hAnsi="Arial Narrow"/>
          <w:sz w:val="30"/>
          <w:szCs w:val="30"/>
        </w:rPr>
        <w:t>部分：人脸图像数据</w:t>
      </w:r>
      <w:r>
        <w:rPr>
          <w:rFonts w:ascii="Arial Narrow" w:eastAsia="仿宋_GB2312" w:hAnsi="Arial Narrow" w:hint="eastAsia"/>
          <w:sz w:val="30"/>
          <w:szCs w:val="30"/>
        </w:rPr>
        <w:t>,</w:t>
      </w:r>
      <w:r>
        <w:rPr>
          <w:rFonts w:ascii="Arial Narrow" w:eastAsia="仿宋_GB2312" w:hAnsi="Arial Narrow"/>
          <w:sz w:val="30"/>
          <w:szCs w:val="30"/>
        </w:rPr>
        <w:t>GB/T 33842.5-2018</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t>3.</w:t>
      </w:r>
      <w:r>
        <w:rPr>
          <w:rFonts w:ascii="Arial Narrow" w:eastAsia="仿宋_GB2312" w:hAnsi="Arial Narrow"/>
          <w:sz w:val="30"/>
          <w:szCs w:val="30"/>
        </w:rPr>
        <w:t>机器人与机器人装备</w:t>
      </w:r>
      <w:r>
        <w:rPr>
          <w:rFonts w:ascii="Arial Narrow" w:eastAsia="仿宋_GB2312" w:hAnsi="Arial Narrow"/>
          <w:sz w:val="30"/>
          <w:szCs w:val="30"/>
        </w:rPr>
        <w:t xml:space="preserve"> </w:t>
      </w:r>
      <w:r>
        <w:rPr>
          <w:rFonts w:ascii="Arial Narrow" w:eastAsia="仿宋_GB2312" w:hAnsi="Arial Narrow"/>
          <w:sz w:val="30"/>
          <w:szCs w:val="30"/>
        </w:rPr>
        <w:t>协作机器人</w:t>
      </w:r>
      <w:r>
        <w:rPr>
          <w:rFonts w:ascii="Arial Narrow" w:eastAsia="仿宋_GB2312" w:hAnsi="Arial Narrow" w:hint="eastAsia"/>
          <w:sz w:val="30"/>
          <w:szCs w:val="30"/>
        </w:rPr>
        <w:t>,</w:t>
      </w:r>
      <w:r>
        <w:rPr>
          <w:rFonts w:ascii="Arial Narrow" w:eastAsia="仿宋_GB2312" w:hAnsi="Arial Narrow"/>
          <w:sz w:val="30"/>
          <w:szCs w:val="30"/>
        </w:rPr>
        <w:t>GB/T 36008-201</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t>4.</w:t>
      </w:r>
      <w:r>
        <w:rPr>
          <w:rFonts w:ascii="Arial Narrow" w:eastAsia="仿宋_GB2312" w:hAnsi="Arial Narrow"/>
          <w:sz w:val="30"/>
          <w:szCs w:val="30"/>
        </w:rPr>
        <w:t>机器人与机器人装备</w:t>
      </w:r>
      <w:r>
        <w:rPr>
          <w:rFonts w:ascii="Arial Narrow" w:eastAsia="仿宋_GB2312" w:hAnsi="Arial Narrow"/>
          <w:sz w:val="30"/>
          <w:szCs w:val="30"/>
        </w:rPr>
        <w:t>·</w:t>
      </w:r>
      <w:r>
        <w:rPr>
          <w:rFonts w:ascii="Arial Narrow" w:eastAsia="仿宋_GB2312" w:hAnsi="Arial Narrow"/>
          <w:sz w:val="30"/>
          <w:szCs w:val="30"/>
        </w:rPr>
        <w:t>工业机器人的安全要求</w:t>
      </w:r>
      <w:r>
        <w:rPr>
          <w:rFonts w:ascii="Arial Narrow" w:eastAsia="仿宋_GB2312" w:hAnsi="Arial Narrow"/>
          <w:sz w:val="30"/>
          <w:szCs w:val="30"/>
        </w:rPr>
        <w:t>(</w:t>
      </w:r>
      <w:r>
        <w:rPr>
          <w:rFonts w:ascii="Arial Narrow" w:eastAsia="仿宋_GB2312" w:hAnsi="Arial Narrow"/>
          <w:sz w:val="30"/>
          <w:szCs w:val="30"/>
        </w:rPr>
        <w:t>第</w:t>
      </w:r>
      <w:r>
        <w:rPr>
          <w:rFonts w:ascii="Arial Narrow" w:eastAsia="仿宋_GB2312" w:hAnsi="Arial Narrow"/>
          <w:sz w:val="30"/>
          <w:szCs w:val="30"/>
        </w:rPr>
        <w:t>2</w:t>
      </w:r>
      <w:r>
        <w:rPr>
          <w:rFonts w:ascii="Arial Narrow" w:eastAsia="仿宋_GB2312" w:hAnsi="Arial Narrow"/>
          <w:sz w:val="30"/>
          <w:szCs w:val="30"/>
        </w:rPr>
        <w:t>部分</w:t>
      </w:r>
      <w:r>
        <w:rPr>
          <w:rFonts w:ascii="Arial Narrow" w:eastAsia="仿宋_GB2312" w:hAnsi="Arial Narrow"/>
          <w:sz w:val="30"/>
          <w:szCs w:val="30"/>
        </w:rPr>
        <w:t>):</w:t>
      </w:r>
      <w:r>
        <w:rPr>
          <w:rFonts w:ascii="Arial Narrow" w:eastAsia="仿宋_GB2312" w:hAnsi="Arial Narrow"/>
          <w:sz w:val="30"/>
          <w:szCs w:val="30"/>
        </w:rPr>
        <w:t>机器人系统与集成，</w:t>
      </w:r>
      <w:r>
        <w:rPr>
          <w:rFonts w:ascii="Arial Narrow" w:eastAsia="仿宋_GB2312" w:hAnsi="Arial Narrow"/>
          <w:sz w:val="30"/>
          <w:szCs w:val="30"/>
        </w:rPr>
        <w:t>GB 11291.2-2013</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lastRenderedPageBreak/>
        <w:t>5.</w:t>
      </w:r>
      <w:r>
        <w:rPr>
          <w:rFonts w:ascii="Arial Narrow" w:eastAsia="仿宋_GB2312" w:hAnsi="Arial Narrow"/>
          <w:sz w:val="30"/>
          <w:szCs w:val="30"/>
        </w:rPr>
        <w:t>商品条码</w:t>
      </w:r>
      <w:r>
        <w:rPr>
          <w:rFonts w:ascii="Arial Narrow" w:eastAsia="仿宋_GB2312" w:hAnsi="Arial Narrow"/>
          <w:sz w:val="30"/>
          <w:szCs w:val="30"/>
        </w:rPr>
        <w:t xml:space="preserve"> </w:t>
      </w:r>
      <w:r>
        <w:rPr>
          <w:rFonts w:ascii="Arial Narrow" w:eastAsia="仿宋_GB2312" w:hAnsi="Arial Narrow"/>
          <w:sz w:val="30"/>
          <w:szCs w:val="30"/>
        </w:rPr>
        <w:t>贸易单元的小面积条码表示</w:t>
      </w:r>
      <w:r>
        <w:rPr>
          <w:rFonts w:ascii="Arial Narrow" w:eastAsia="仿宋_GB2312" w:hAnsi="Arial Narrow" w:hint="eastAsia"/>
          <w:sz w:val="30"/>
          <w:szCs w:val="30"/>
        </w:rPr>
        <w:t>,</w:t>
      </w:r>
      <w:r>
        <w:rPr>
          <w:rFonts w:ascii="Arial Narrow" w:eastAsia="仿宋_GB2312" w:hAnsi="Arial Narrow"/>
          <w:sz w:val="30"/>
          <w:szCs w:val="30"/>
        </w:rPr>
        <w:t>GB/T 36069-2018</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t>6.</w:t>
      </w:r>
      <w:r>
        <w:rPr>
          <w:rFonts w:ascii="Arial Narrow" w:eastAsia="仿宋_GB2312" w:hAnsi="Arial Narrow"/>
          <w:sz w:val="30"/>
          <w:szCs w:val="30"/>
        </w:rPr>
        <w:t>信息技术服务</w:t>
      </w:r>
      <w:r>
        <w:rPr>
          <w:rFonts w:ascii="Arial Narrow" w:eastAsia="仿宋_GB2312" w:hAnsi="Arial Narrow"/>
          <w:sz w:val="30"/>
          <w:szCs w:val="30"/>
        </w:rPr>
        <w:t xml:space="preserve"> </w:t>
      </w:r>
      <w:r>
        <w:rPr>
          <w:rFonts w:ascii="Arial Narrow" w:eastAsia="仿宋_GB2312" w:hAnsi="Arial Narrow"/>
          <w:sz w:val="30"/>
          <w:szCs w:val="30"/>
        </w:rPr>
        <w:t>服务管理</w:t>
      </w:r>
      <w:r>
        <w:rPr>
          <w:rFonts w:ascii="Arial Narrow" w:eastAsia="仿宋_GB2312" w:hAnsi="Arial Narrow"/>
          <w:sz w:val="30"/>
          <w:szCs w:val="30"/>
        </w:rPr>
        <w:t xml:space="preserve"> </w:t>
      </w:r>
      <w:r>
        <w:rPr>
          <w:rFonts w:ascii="Arial Narrow" w:eastAsia="仿宋_GB2312" w:hAnsi="Arial Narrow"/>
          <w:sz w:val="30"/>
          <w:szCs w:val="30"/>
        </w:rPr>
        <w:t>第</w:t>
      </w:r>
      <w:r>
        <w:rPr>
          <w:rFonts w:ascii="Arial Narrow" w:eastAsia="仿宋_GB2312" w:hAnsi="Arial Narrow"/>
          <w:sz w:val="30"/>
          <w:szCs w:val="30"/>
        </w:rPr>
        <w:t>2</w:t>
      </w:r>
      <w:r>
        <w:rPr>
          <w:rFonts w:ascii="Arial Narrow" w:eastAsia="仿宋_GB2312" w:hAnsi="Arial Narrow"/>
          <w:sz w:val="30"/>
          <w:szCs w:val="30"/>
        </w:rPr>
        <w:t>部分：实施指南</w:t>
      </w:r>
      <w:r>
        <w:rPr>
          <w:rFonts w:ascii="Arial Narrow" w:eastAsia="仿宋_GB2312" w:hAnsi="Arial Narrow" w:hint="eastAsia"/>
          <w:sz w:val="30"/>
          <w:szCs w:val="30"/>
        </w:rPr>
        <w:t>,</w:t>
      </w:r>
      <w:r>
        <w:rPr>
          <w:rFonts w:ascii="Arial Narrow" w:eastAsia="仿宋_GB2312" w:hAnsi="Arial Narrow"/>
          <w:sz w:val="30"/>
          <w:szCs w:val="30"/>
        </w:rPr>
        <w:t xml:space="preserve"> GB/T 36074.2-2018</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t>7.</w:t>
      </w:r>
      <w:r>
        <w:rPr>
          <w:rFonts w:ascii="Arial Narrow" w:eastAsia="仿宋_GB2312" w:hAnsi="Arial Narrow"/>
          <w:sz w:val="30"/>
          <w:szCs w:val="30"/>
        </w:rPr>
        <w:t>自动作业仓储配送包装箱信息标识通用规范</w:t>
      </w:r>
      <w:r>
        <w:rPr>
          <w:rFonts w:ascii="Arial Narrow" w:eastAsia="仿宋_GB2312" w:hAnsi="Arial Narrow" w:hint="eastAsia"/>
          <w:sz w:val="30"/>
          <w:szCs w:val="30"/>
        </w:rPr>
        <w:t>,</w:t>
      </w:r>
      <w:r>
        <w:rPr>
          <w:rFonts w:ascii="Arial Narrow" w:eastAsia="仿宋_GB2312" w:hAnsi="Arial Narrow"/>
          <w:sz w:val="30"/>
          <w:szCs w:val="30"/>
        </w:rPr>
        <w:t>GB/T 36076-2018</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t>8</w:t>
      </w:r>
      <w:r>
        <w:rPr>
          <w:rFonts w:ascii="Arial Narrow" w:eastAsia="仿宋_GB2312" w:hAnsi="Arial Narrow"/>
          <w:sz w:val="30"/>
          <w:szCs w:val="30"/>
        </w:rPr>
        <w:t>.</w:t>
      </w:r>
      <w:r>
        <w:rPr>
          <w:rFonts w:ascii="Arial Narrow" w:eastAsia="仿宋_GB2312" w:hAnsi="Arial Narrow" w:hint="eastAsia"/>
          <w:sz w:val="30"/>
          <w:szCs w:val="30"/>
        </w:rPr>
        <w:t>电气设备用图形符号</w:t>
      </w:r>
      <w:r>
        <w:rPr>
          <w:rFonts w:ascii="Arial Narrow" w:eastAsia="仿宋_GB2312" w:hAnsi="Arial Narrow"/>
          <w:sz w:val="30"/>
          <w:szCs w:val="30"/>
        </w:rPr>
        <w:t xml:space="preserve">  GB/T 5465.2-1996</w:t>
      </w:r>
      <w:r>
        <w:rPr>
          <w:rFonts w:ascii="Arial Narrow" w:eastAsia="仿宋_GB2312" w:hAnsi="Arial Narrow" w:hint="eastAsia"/>
          <w:sz w:val="30"/>
          <w:szCs w:val="30"/>
        </w:rPr>
        <w:t>;</w:t>
      </w:r>
    </w:p>
    <w:p w:rsidR="00F01006" w:rsidRDefault="00D42733">
      <w:pPr>
        <w:ind w:firstLineChars="200" w:firstLine="600"/>
        <w:contextualSpacing/>
        <w:rPr>
          <w:rFonts w:ascii="Arial Narrow" w:eastAsia="仿宋_GB2312" w:hAnsi="Arial Narrow"/>
          <w:sz w:val="30"/>
          <w:szCs w:val="30"/>
        </w:rPr>
      </w:pPr>
      <w:r>
        <w:rPr>
          <w:rFonts w:ascii="Arial Narrow" w:eastAsia="仿宋_GB2312" w:hAnsi="Arial Narrow" w:hint="eastAsia"/>
          <w:sz w:val="30"/>
          <w:szCs w:val="30"/>
        </w:rPr>
        <w:t>9</w:t>
      </w:r>
      <w:r>
        <w:rPr>
          <w:rFonts w:ascii="Arial Narrow" w:eastAsia="仿宋_GB2312" w:hAnsi="Arial Narrow"/>
          <w:sz w:val="30"/>
          <w:szCs w:val="30"/>
        </w:rPr>
        <w:t>.</w:t>
      </w:r>
      <w:r>
        <w:rPr>
          <w:rFonts w:ascii="Arial Narrow" w:eastAsia="仿宋_GB2312" w:hAnsi="Arial Narrow" w:hint="eastAsia"/>
          <w:sz w:val="30"/>
          <w:szCs w:val="30"/>
        </w:rPr>
        <w:t>机械安全机械电气设备第</w:t>
      </w:r>
      <w:r>
        <w:rPr>
          <w:rFonts w:ascii="Arial Narrow" w:eastAsia="仿宋_GB2312" w:hAnsi="Arial Narrow"/>
          <w:sz w:val="30"/>
          <w:szCs w:val="30"/>
        </w:rPr>
        <w:t>1</w:t>
      </w:r>
      <w:r>
        <w:rPr>
          <w:rFonts w:ascii="Arial Narrow" w:eastAsia="仿宋_GB2312" w:hAnsi="Arial Narrow" w:hint="eastAsia"/>
          <w:sz w:val="30"/>
          <w:szCs w:val="30"/>
        </w:rPr>
        <w:t>部分</w:t>
      </w:r>
      <w:r>
        <w:rPr>
          <w:rFonts w:ascii="Arial Narrow" w:eastAsia="仿宋_GB2312" w:hAnsi="Arial Narrow"/>
          <w:sz w:val="30"/>
          <w:szCs w:val="30"/>
        </w:rPr>
        <w:t xml:space="preserve">  GB 5226.1-2002</w:t>
      </w:r>
      <w:r>
        <w:rPr>
          <w:rFonts w:ascii="Arial Narrow" w:eastAsia="仿宋_GB2312" w:hAnsi="Arial Narrow" w:hint="eastAsia"/>
          <w:sz w:val="30"/>
          <w:szCs w:val="30"/>
        </w:rPr>
        <w:t>.</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七、技术平台</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比赛器材</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比赛平台包含</w:t>
      </w:r>
      <w:r>
        <w:rPr>
          <w:rFonts w:ascii="Arial Narrow" w:eastAsia="仿宋_GB2312" w:hAnsi="Arial Narrow" w:cs="Arial" w:hint="eastAsia"/>
          <w:color w:val="000000"/>
          <w:sz w:val="30"/>
          <w:szCs w:val="30"/>
        </w:rPr>
        <w:t>AI</w:t>
      </w:r>
      <w:r>
        <w:rPr>
          <w:rFonts w:ascii="Arial Narrow" w:eastAsia="仿宋_GB2312" w:hAnsi="Arial Narrow" w:cs="Arial" w:hint="eastAsia"/>
          <w:color w:val="000000"/>
          <w:sz w:val="30"/>
          <w:szCs w:val="30"/>
        </w:rPr>
        <w:t>云机器学习平台、协作式机器人、智能视觉系统、人脸识别模块、语音识别模块等核心部件。</w:t>
      </w:r>
    </w:p>
    <w:p w:rsidR="00F01006" w:rsidRDefault="00D42733">
      <w:pPr>
        <w:pStyle w:val="a3"/>
        <w:rPr>
          <w:rFonts w:ascii="Arial Narrow" w:eastAsia="仿宋_GB2312" w:hAnsi="Arial Narrow" w:cs="Arial"/>
          <w:color w:val="000000"/>
          <w:sz w:val="30"/>
          <w:szCs w:val="30"/>
        </w:rPr>
      </w:pPr>
      <w:r>
        <w:rPr>
          <w:noProof/>
        </w:rPr>
        <w:drawing>
          <wp:inline distT="0" distB="0" distL="0" distR="0">
            <wp:extent cx="5274310" cy="2966720"/>
            <wp:effectExtent l="0" t="0" r="0" b="0"/>
            <wp:docPr id="3" name="图片 3" descr="C:\Users\Lenovo\Pictures\Workspace\产品\M1 视觉 fro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enovo\Pictures\Workspace\产品\M1 视觉 fron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4310" cy="2966799"/>
                    </a:xfrm>
                    <a:prstGeom prst="rect">
                      <a:avLst/>
                    </a:prstGeom>
                    <a:noFill/>
                    <a:ln>
                      <a:noFill/>
                    </a:ln>
                  </pic:spPr>
                </pic:pic>
              </a:graphicData>
            </a:graphic>
          </wp:inline>
        </w:drawing>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AI</w:t>
      </w:r>
      <w:r>
        <w:rPr>
          <w:rFonts w:ascii="Arial Narrow" w:eastAsia="仿宋_GB2312" w:hAnsi="Arial Narrow" w:cs="Arial" w:hint="eastAsia"/>
          <w:color w:val="000000"/>
          <w:sz w:val="30"/>
          <w:szCs w:val="30"/>
        </w:rPr>
        <w:t>云机器学习平台</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包含了可视化的操作界面、具象化的算法结果、拖拽式的任务流、可灵活自定义的特性，以及内置的丰富模型算法与案例。它能够对各种数据源、组件、算法、模型和评估模块进行组合。能够方便地进行模型训练、评估和预测，并运用机器学习技术解决各场景的问题。</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lastRenderedPageBreak/>
        <w:t>（</w:t>
      </w: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协作式机器人，与传统工业机械臂必须用安全保护栏与人隔离不同，它可以和人在共同工作空间中合作、互动，共同完成工作。因此，协作机械臂必须具备高安全性、高灵活性和高精度，且满足即插即用、编程简单直观、操作简单，让非专业人员也能快速掌握并使用的特征。一旦发生非预期碰撞，协作机械臂就会立即自动停止运行，保护操作人员和周围设备不受伤害。</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）智能视觉系统，图形化开发的机器视觉，具备多种算子多种视觉工艺，支持测量、检测、定位等</w:t>
      </w:r>
      <w:r>
        <w:rPr>
          <w:rFonts w:ascii="Arial Narrow" w:eastAsia="仿宋_GB2312" w:hAnsi="Arial Narrow" w:cs="Arial" w:hint="eastAsia"/>
          <w:color w:val="000000"/>
          <w:sz w:val="30"/>
          <w:szCs w:val="30"/>
        </w:rPr>
        <w:t>.</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）人脸识别模块，主要功能模块为人脸注册模块、人脸识别模块、人脸验证模块、人脸</w:t>
      </w:r>
      <w:r>
        <w:rPr>
          <w:rFonts w:ascii="Arial Narrow" w:eastAsia="仿宋_GB2312" w:hAnsi="Arial Narrow" w:cs="Arial" w:hint="eastAsia"/>
          <w:color w:val="000000"/>
          <w:sz w:val="30"/>
          <w:szCs w:val="30"/>
        </w:rPr>
        <w:t>ID</w:t>
      </w:r>
      <w:r>
        <w:rPr>
          <w:rFonts w:ascii="Arial Narrow" w:eastAsia="仿宋_GB2312" w:hAnsi="Arial Narrow" w:cs="Arial" w:hint="eastAsia"/>
          <w:color w:val="000000"/>
          <w:sz w:val="30"/>
          <w:szCs w:val="30"/>
        </w:rPr>
        <w:t>模块、图像处理模块</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）语音识别模块，主要功能模块</w:t>
      </w:r>
      <w:r>
        <w:rPr>
          <w:rFonts w:ascii="Arial Narrow" w:eastAsia="仿宋_GB2312" w:hAnsi="Arial Narrow" w:cs="Arial" w:hint="eastAsia"/>
          <w:color w:val="000000"/>
          <w:sz w:val="30"/>
          <w:szCs w:val="30"/>
        </w:rPr>
        <w:tab/>
        <w:t>Raspberry Pi</w:t>
      </w:r>
      <w:r>
        <w:rPr>
          <w:rFonts w:ascii="Arial Narrow" w:eastAsia="仿宋_GB2312" w:hAnsi="Arial Narrow" w:cs="Arial" w:hint="eastAsia"/>
          <w:color w:val="000000"/>
          <w:sz w:val="30"/>
          <w:szCs w:val="30"/>
        </w:rPr>
        <w:t>主控、可编程</w:t>
      </w:r>
      <w:r>
        <w:rPr>
          <w:rFonts w:ascii="Arial Narrow" w:eastAsia="仿宋_GB2312" w:hAnsi="Arial Narrow" w:cs="Arial" w:hint="eastAsia"/>
          <w:color w:val="000000"/>
          <w:sz w:val="30"/>
          <w:szCs w:val="30"/>
        </w:rPr>
        <w:t>LED</w:t>
      </w:r>
      <w:r>
        <w:rPr>
          <w:rFonts w:ascii="Arial Narrow" w:eastAsia="仿宋_GB2312" w:hAnsi="Arial Narrow" w:cs="Arial" w:hint="eastAsia"/>
          <w:color w:val="000000"/>
          <w:sz w:val="30"/>
          <w:szCs w:val="30"/>
        </w:rPr>
        <w:t>模块、麦克风阵列、高清语音输入转换模块</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赛项使用的主要专用软件：</w:t>
      </w:r>
      <w:r>
        <w:rPr>
          <w:rFonts w:ascii="Arial Narrow" w:eastAsia="仿宋_GB2312" w:hAnsi="Arial Narrow" w:cs="Arial" w:hint="eastAsia"/>
          <w:color w:val="000000"/>
          <w:sz w:val="30"/>
          <w:szCs w:val="30"/>
        </w:rPr>
        <w:t xml:space="preserve"> </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协作机器人编程软件系统，</w:t>
      </w:r>
      <w:r>
        <w:rPr>
          <w:rFonts w:ascii="Arial Narrow" w:eastAsia="仿宋_GB2312" w:hAnsi="Arial Narrow" w:cs="Arial" w:hint="eastAsia"/>
          <w:color w:val="000000"/>
          <w:sz w:val="30"/>
          <w:szCs w:val="30"/>
        </w:rPr>
        <w:t>DobotStudio-M1v2.0</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机械臂</w:t>
      </w:r>
      <w:r>
        <w:rPr>
          <w:rFonts w:ascii="Arial Narrow" w:eastAsia="仿宋_GB2312" w:hAnsi="Arial Narrow" w:cs="Arial" w:hint="eastAsia"/>
          <w:color w:val="000000"/>
          <w:sz w:val="30"/>
          <w:szCs w:val="30"/>
        </w:rPr>
        <w:t>DobotStudio-Magician SmartPendant v1.2</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）国产通用组态软件</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4</w:t>
      </w:r>
      <w:r>
        <w:rPr>
          <w:rFonts w:ascii="Arial Narrow" w:eastAsia="仿宋_GB2312" w:hAnsi="Arial Narrow" w:cs="Arial" w:hint="eastAsia"/>
          <w:color w:val="000000"/>
          <w:sz w:val="30"/>
          <w:szCs w:val="30"/>
        </w:rPr>
        <w:t>）</w:t>
      </w:r>
      <w:r>
        <w:rPr>
          <w:rFonts w:ascii="Arial Narrow" w:eastAsia="仿宋_GB2312" w:hAnsi="Arial Narrow" w:cs="Arial" w:hint="eastAsia"/>
          <w:color w:val="000000"/>
          <w:sz w:val="30"/>
          <w:szCs w:val="30"/>
        </w:rPr>
        <w:t>Python</w:t>
      </w:r>
      <w:r>
        <w:rPr>
          <w:rFonts w:ascii="Arial Narrow" w:eastAsia="仿宋_GB2312" w:hAnsi="Arial Narrow" w:cs="Arial" w:hint="eastAsia"/>
          <w:color w:val="000000"/>
          <w:sz w:val="30"/>
          <w:szCs w:val="30"/>
        </w:rPr>
        <w:t>集成开发环境，</w:t>
      </w:r>
      <w:r>
        <w:rPr>
          <w:rFonts w:ascii="Arial Narrow" w:eastAsia="仿宋_GB2312" w:hAnsi="Arial Narrow" w:cs="Arial" w:hint="eastAsia"/>
          <w:color w:val="000000"/>
          <w:sz w:val="30"/>
          <w:szCs w:val="30"/>
        </w:rPr>
        <w:t>pycharm-community</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5</w:t>
      </w:r>
      <w:r>
        <w:rPr>
          <w:rFonts w:ascii="Arial Narrow" w:eastAsia="仿宋_GB2312" w:hAnsi="Arial Narrow" w:cs="Arial" w:hint="eastAsia"/>
          <w:color w:val="000000"/>
          <w:sz w:val="30"/>
          <w:szCs w:val="30"/>
        </w:rPr>
        <w:t>）深度学习框架，</w:t>
      </w:r>
      <w:r>
        <w:rPr>
          <w:rFonts w:ascii="Arial Narrow" w:eastAsia="仿宋_GB2312" w:hAnsi="Arial Narrow" w:cs="Arial" w:hint="eastAsia"/>
          <w:color w:val="000000"/>
          <w:sz w:val="30"/>
          <w:szCs w:val="30"/>
        </w:rPr>
        <w:t>TensorFlow</w:t>
      </w:r>
      <w:r>
        <w:rPr>
          <w:rFonts w:ascii="Arial Narrow" w:eastAsia="仿宋_GB2312" w:hAnsi="Arial Narrow" w:cs="Arial" w:hint="eastAsia"/>
          <w:color w:val="000000"/>
          <w:sz w:val="30"/>
          <w:szCs w:val="30"/>
        </w:rPr>
        <w:t>开源</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赛项通用仪器仪设备如下：</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1</w:t>
      </w:r>
      <w:r>
        <w:rPr>
          <w:rFonts w:ascii="Arial Narrow" w:eastAsia="仿宋_GB2312" w:hAnsi="Arial Narrow" w:cs="Arial" w:hint="eastAsia"/>
          <w:color w:val="000000"/>
          <w:sz w:val="30"/>
          <w:szCs w:val="30"/>
        </w:rPr>
        <w:t>）万用表</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）常用工具箱（含螺丝刀套件、放大镜、扁嘴钳等）</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3</w:t>
      </w:r>
      <w:r>
        <w:rPr>
          <w:rFonts w:ascii="Arial Narrow" w:eastAsia="仿宋_GB2312" w:hAnsi="Arial Narrow" w:cs="Arial" w:hint="eastAsia"/>
          <w:color w:val="000000"/>
          <w:sz w:val="30"/>
          <w:szCs w:val="30"/>
        </w:rPr>
        <w:t>）直流稳压电源</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 xml:space="preserve">4) </w:t>
      </w:r>
      <w:r>
        <w:rPr>
          <w:rFonts w:ascii="Arial Narrow" w:eastAsia="仿宋_GB2312" w:hAnsi="Arial Narrow" w:cs="Arial" w:hint="eastAsia"/>
          <w:color w:val="000000"/>
          <w:sz w:val="30"/>
          <w:szCs w:val="30"/>
        </w:rPr>
        <w:t>常用工具箱（含螺丝刀套件、剥线钳、斜口钳等）</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 xml:space="preserve">5) </w:t>
      </w:r>
      <w:r>
        <w:rPr>
          <w:rFonts w:ascii="Arial Narrow" w:eastAsia="仿宋_GB2312" w:hAnsi="Arial Narrow" w:cs="Arial" w:hint="eastAsia"/>
          <w:color w:val="000000"/>
          <w:sz w:val="30"/>
          <w:szCs w:val="30"/>
        </w:rPr>
        <w:t>无限网络交换机</w:t>
      </w:r>
    </w:p>
    <w:p w:rsidR="00F01006" w:rsidRDefault="00D42733">
      <w:pPr>
        <w:pStyle w:val="a3"/>
        <w:spacing w:line="540" w:lineRule="exact"/>
        <w:ind w:firstLine="585"/>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 xml:space="preserve">6) </w:t>
      </w:r>
      <w:r>
        <w:rPr>
          <w:rFonts w:ascii="Arial Narrow" w:eastAsia="仿宋_GB2312" w:hAnsi="Arial Narrow" w:cs="Arial" w:hint="eastAsia"/>
          <w:color w:val="000000"/>
          <w:sz w:val="30"/>
          <w:szCs w:val="30"/>
        </w:rPr>
        <w:t>电脑</w:t>
      </w:r>
      <w:r>
        <w:rPr>
          <w:rFonts w:ascii="Arial Narrow" w:eastAsia="仿宋_GB2312" w:hAnsi="Arial Narrow" w:cs="Arial" w:hint="eastAsia"/>
          <w:color w:val="000000"/>
          <w:sz w:val="30"/>
          <w:szCs w:val="30"/>
        </w:rPr>
        <w:t>2</w:t>
      </w:r>
      <w:r>
        <w:rPr>
          <w:rFonts w:ascii="Arial Narrow" w:eastAsia="仿宋_GB2312" w:hAnsi="Arial Narrow" w:cs="Arial" w:hint="eastAsia"/>
          <w:color w:val="000000"/>
          <w:sz w:val="30"/>
          <w:szCs w:val="30"/>
        </w:rPr>
        <w:t>台（双核以上处理器，</w:t>
      </w:r>
      <w:r>
        <w:rPr>
          <w:rFonts w:ascii="Arial Narrow" w:eastAsia="仿宋_GB2312" w:hAnsi="Arial Narrow" w:cs="Arial" w:hint="eastAsia"/>
          <w:color w:val="000000"/>
          <w:sz w:val="30"/>
          <w:szCs w:val="30"/>
        </w:rPr>
        <w:t>16G</w:t>
      </w:r>
      <w:r>
        <w:rPr>
          <w:rFonts w:ascii="Arial Narrow" w:eastAsia="仿宋_GB2312" w:hAnsi="Arial Narrow" w:cs="Arial" w:hint="eastAsia"/>
          <w:color w:val="000000"/>
          <w:sz w:val="30"/>
          <w:szCs w:val="30"/>
        </w:rPr>
        <w:t>以上内存，</w:t>
      </w:r>
      <w:r>
        <w:rPr>
          <w:rFonts w:ascii="Arial Narrow" w:eastAsia="仿宋_GB2312" w:hAnsi="Arial Narrow" w:cs="Arial" w:hint="eastAsia"/>
          <w:color w:val="000000"/>
          <w:sz w:val="30"/>
          <w:szCs w:val="30"/>
        </w:rPr>
        <w:t>300G</w:t>
      </w:r>
      <w:r>
        <w:rPr>
          <w:rFonts w:ascii="Arial Narrow" w:eastAsia="仿宋_GB2312" w:hAnsi="Arial Narrow" w:cs="Arial" w:hint="eastAsia"/>
          <w:color w:val="000000"/>
          <w:sz w:val="30"/>
          <w:szCs w:val="30"/>
        </w:rPr>
        <w:t>以上</w:t>
      </w:r>
      <w:r>
        <w:rPr>
          <w:rFonts w:ascii="Arial Narrow" w:eastAsia="仿宋_GB2312" w:hAnsi="Arial Narrow" w:cs="Arial" w:hint="eastAsia"/>
          <w:color w:val="000000"/>
          <w:sz w:val="30"/>
          <w:szCs w:val="30"/>
        </w:rPr>
        <w:lastRenderedPageBreak/>
        <w:t>硬盘，网络接口，</w:t>
      </w:r>
      <w:r>
        <w:rPr>
          <w:rFonts w:ascii="Arial Narrow" w:eastAsia="仿宋_GB2312" w:hAnsi="Arial Narrow" w:cs="Arial" w:hint="eastAsia"/>
          <w:color w:val="000000"/>
          <w:sz w:val="30"/>
          <w:szCs w:val="30"/>
        </w:rPr>
        <w:t>USB</w:t>
      </w:r>
      <w:r>
        <w:rPr>
          <w:rFonts w:ascii="Arial Narrow" w:eastAsia="仿宋_GB2312" w:hAnsi="Arial Narrow" w:cs="Arial" w:hint="eastAsia"/>
          <w:color w:val="000000"/>
          <w:sz w:val="30"/>
          <w:szCs w:val="30"/>
        </w:rPr>
        <w:t>接口，</w:t>
      </w:r>
      <w:r>
        <w:rPr>
          <w:rFonts w:ascii="Arial Narrow" w:eastAsia="仿宋_GB2312" w:hAnsi="Arial Narrow" w:cs="Arial" w:hint="eastAsia"/>
          <w:color w:val="000000"/>
          <w:sz w:val="30"/>
          <w:szCs w:val="30"/>
        </w:rPr>
        <w:t>Win 10</w:t>
      </w:r>
      <w:r>
        <w:rPr>
          <w:rFonts w:ascii="Arial Narrow" w:eastAsia="仿宋_GB2312" w:hAnsi="Arial Narrow" w:cs="Arial" w:hint="eastAsia"/>
          <w:color w:val="000000"/>
          <w:sz w:val="30"/>
          <w:szCs w:val="30"/>
        </w:rPr>
        <w:t>操作系统）</w:t>
      </w:r>
    </w:p>
    <w:p w:rsidR="00F01006" w:rsidRDefault="00F01006">
      <w:pPr>
        <w:pStyle w:val="a3"/>
        <w:spacing w:line="540" w:lineRule="exact"/>
        <w:ind w:firstLine="585"/>
        <w:rPr>
          <w:rFonts w:ascii="Arial Narrow" w:eastAsia="仿宋_GB2312" w:hAnsi="Arial Narrow" w:cs="Arial"/>
          <w:color w:val="000000"/>
          <w:sz w:val="30"/>
          <w:szCs w:val="30"/>
        </w:rPr>
      </w:pPr>
    </w:p>
    <w:p w:rsidR="00F01006" w:rsidRDefault="00D42733">
      <w:pPr>
        <w:pStyle w:val="a3"/>
        <w:spacing w:line="54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八、成绩评定</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Arial Narrow" w:eastAsia="仿宋_GB2312" w:hAnsi="Arial Narrow" w:cs="Arial" w:hint="eastAsia"/>
          <w:color w:val="000000"/>
          <w:sz w:val="30"/>
          <w:szCs w:val="30"/>
        </w:rPr>
        <w:t>公开赛项评分标准和评分方式，赛项最终得分按百分制计分。成绩评定必须在公开、公平、公正、独立、透明的条件下进行。</w:t>
      </w:r>
    </w:p>
    <w:p w:rsidR="00F01006" w:rsidRDefault="00D4273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（一）评分原则</w:t>
      </w:r>
    </w:p>
    <w:p w:rsidR="00F01006" w:rsidRDefault="00D42733">
      <w:pPr>
        <w:ind w:firstLineChars="250" w:firstLine="750"/>
        <w:contextualSpacing/>
        <w:rPr>
          <w:rFonts w:ascii="仿宋_GB2312" w:eastAsia="仿宋_GB2312" w:hAnsi="Arial Narrow"/>
          <w:sz w:val="30"/>
          <w:szCs w:val="30"/>
        </w:rPr>
      </w:pPr>
      <w:r>
        <w:rPr>
          <w:rFonts w:ascii="仿宋_GB2312" w:eastAsia="仿宋_GB2312" w:hAnsi="Arial Narrow" w:hint="eastAsia"/>
          <w:sz w:val="30"/>
          <w:szCs w:val="30"/>
        </w:rPr>
        <w:t>参照人工智能、智能机器人、自动化集成相关行业企业规范，依据选手完成竞赛任务的情况，按照竞赛标准进行现场评分。评价方式采用过程评价与结果评价相结合，工艺评价与功能评价相结合，能力评价与职业素养评价相结合，本着“科学严谨、公平公正、可操作性强”的选择制定评分标准。赛项总成绩满分为</w:t>
      </w:r>
      <w:r>
        <w:rPr>
          <w:rFonts w:ascii="仿宋_GB2312" w:eastAsia="仿宋_GB2312" w:hAnsi="Arial Narrow"/>
          <w:sz w:val="30"/>
          <w:szCs w:val="30"/>
        </w:rPr>
        <w:t>100</w:t>
      </w:r>
      <w:r>
        <w:rPr>
          <w:rFonts w:ascii="仿宋_GB2312" w:eastAsia="仿宋_GB2312" w:hAnsi="Arial Narrow" w:hint="eastAsia"/>
          <w:sz w:val="30"/>
          <w:szCs w:val="30"/>
        </w:rPr>
        <w:t>分。</w:t>
      </w:r>
    </w:p>
    <w:p w:rsidR="00F01006" w:rsidRDefault="00D42733">
      <w:pPr>
        <w:spacing w:line="360" w:lineRule="auto"/>
        <w:ind w:firstLineChars="200" w:firstLine="600"/>
        <w:rPr>
          <w:rFonts w:ascii="楷体" w:eastAsia="楷体" w:hAnsi="楷体" w:cs="仿宋"/>
          <w:sz w:val="30"/>
          <w:szCs w:val="30"/>
        </w:rPr>
      </w:pPr>
      <w:r>
        <w:rPr>
          <w:rFonts w:ascii="楷体" w:eastAsia="楷体" w:hAnsi="楷体" w:cs="仿宋" w:hint="eastAsia"/>
          <w:sz w:val="30"/>
          <w:szCs w:val="30"/>
        </w:rPr>
        <w:t>（二）评分细则</w:t>
      </w:r>
    </w:p>
    <w:p w:rsidR="00F01006" w:rsidRDefault="00D42733">
      <w:pPr>
        <w:ind w:firstLineChars="150" w:firstLine="450"/>
        <w:contextualSpacing/>
        <w:rPr>
          <w:rFonts w:ascii="仿宋_GB2312" w:eastAsia="仿宋_GB2312" w:hAnsi="Arial Narrow"/>
          <w:sz w:val="30"/>
          <w:szCs w:val="30"/>
        </w:rPr>
      </w:pPr>
      <w:r>
        <w:rPr>
          <w:rFonts w:ascii="仿宋_GB2312" w:eastAsia="仿宋_GB2312" w:hAnsi="Arial Narrow" w:hint="eastAsia"/>
          <w:sz w:val="30"/>
          <w:szCs w:val="30"/>
        </w:rPr>
        <w:t>本赛项采用结果评分和现场评分两种方式，满分</w:t>
      </w:r>
      <w:r>
        <w:rPr>
          <w:rFonts w:ascii="仿宋_GB2312" w:eastAsia="仿宋_GB2312" w:hAnsi="Arial Narrow"/>
          <w:sz w:val="30"/>
          <w:szCs w:val="30"/>
        </w:rPr>
        <w:t>100</w:t>
      </w:r>
      <w:r>
        <w:rPr>
          <w:rFonts w:ascii="仿宋_GB2312" w:eastAsia="仿宋_GB2312" w:hAnsi="Arial Narrow" w:hint="eastAsia"/>
          <w:sz w:val="30"/>
          <w:szCs w:val="30"/>
        </w:rPr>
        <w:t>分，具体评分细则如表所示。</w:t>
      </w:r>
    </w:p>
    <w:p w:rsidR="00F01006" w:rsidRDefault="00D42733">
      <w:pPr>
        <w:ind w:firstLineChars="150" w:firstLine="361"/>
        <w:contextualSpacing/>
        <w:jc w:val="center"/>
        <w:outlineLvl w:val="1"/>
        <w:rPr>
          <w:rFonts w:ascii="仿宋_GB2312" w:eastAsia="仿宋_GB2312" w:hAnsi="Arial Narrow"/>
          <w:b/>
          <w:bCs/>
          <w:sz w:val="24"/>
        </w:rPr>
      </w:pPr>
      <w:r>
        <w:rPr>
          <w:rFonts w:ascii="仿宋_GB2312" w:eastAsia="仿宋_GB2312" w:hAnsi="Arial Narrow" w:hint="eastAsia"/>
          <w:b/>
          <w:bCs/>
          <w:sz w:val="24"/>
        </w:rPr>
        <w:t>人工智能与机器人技术应用 评分细则表</w:t>
      </w:r>
    </w:p>
    <w:tbl>
      <w:tblPr>
        <w:tblW w:w="8598" w:type="dxa"/>
        <w:jc w:val="center"/>
        <w:tblLayout w:type="fixed"/>
        <w:tblLook w:val="04A0"/>
      </w:tblPr>
      <w:tblGrid>
        <w:gridCol w:w="1752"/>
        <w:gridCol w:w="3669"/>
        <w:gridCol w:w="722"/>
        <w:gridCol w:w="2455"/>
      </w:tblGrid>
      <w:tr w:rsidR="00F01006">
        <w:trPr>
          <w:jc w:val="center"/>
        </w:trPr>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评分项目</w:t>
            </w: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评分细则</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分值</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评分方式</w:t>
            </w:r>
          </w:p>
        </w:tc>
      </w:tr>
      <w:tr w:rsidR="00F01006">
        <w:trPr>
          <w:trHeight w:val="634"/>
          <w:jc w:val="center"/>
        </w:trPr>
        <w:tc>
          <w:tcPr>
            <w:tcW w:w="1752" w:type="dxa"/>
            <w:vMerge w:val="restart"/>
            <w:tcBorders>
              <w:top w:val="single" w:sz="4" w:space="0" w:color="auto"/>
              <w:left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系统部署搭建</w:t>
            </w:r>
          </w:p>
          <w:p w:rsidR="00F01006" w:rsidRDefault="00D42733">
            <w:pPr>
              <w:adjustRightInd w:val="0"/>
              <w:contextualSpacing/>
              <w:jc w:val="center"/>
            </w:pPr>
            <w:r>
              <w:rPr>
                <w:rFonts w:hint="eastAsia"/>
              </w:rPr>
              <w:t>（</w:t>
            </w:r>
            <w:r>
              <w:rPr>
                <w:rFonts w:hint="eastAsia"/>
              </w:rPr>
              <w:t>20</w:t>
            </w:r>
            <w:r>
              <w:rPr>
                <w:rFonts w:hint="eastAsia"/>
              </w:rPr>
              <w:t>分）</w:t>
            </w: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人工智能系统环境安装与部署</w:t>
            </w:r>
          </w:p>
        </w:tc>
        <w:tc>
          <w:tcPr>
            <w:tcW w:w="722"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10</w:t>
            </w:r>
          </w:p>
        </w:tc>
        <w:tc>
          <w:tcPr>
            <w:tcW w:w="2455"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结果评分</w:t>
            </w:r>
            <w:r>
              <w:rPr>
                <w:rFonts w:hint="eastAsia"/>
              </w:rPr>
              <w:t xml:space="preserve"> </w:t>
            </w:r>
          </w:p>
        </w:tc>
      </w:tr>
      <w:tr w:rsidR="00F01006">
        <w:trPr>
          <w:trHeight w:val="312"/>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视觉系统与智能机械臂的集成安装</w:t>
            </w:r>
          </w:p>
        </w:tc>
        <w:tc>
          <w:tcPr>
            <w:tcW w:w="722"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2</w:t>
            </w:r>
          </w:p>
        </w:tc>
        <w:tc>
          <w:tcPr>
            <w:tcW w:w="2455"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tcBorders>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分拣传送系统安装</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3</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系统网络搭建连接</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2</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系统安装的工艺质量</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3</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hRule="exact" w:val="300"/>
          <w:jc w:val="center"/>
        </w:trPr>
        <w:tc>
          <w:tcPr>
            <w:tcW w:w="1752" w:type="dxa"/>
            <w:vMerge w:val="restart"/>
            <w:tcBorders>
              <w:top w:val="single" w:sz="4" w:space="0" w:color="auto"/>
              <w:left w:val="single" w:sz="4" w:space="0" w:color="auto"/>
              <w:right w:val="single" w:sz="4" w:space="0" w:color="auto"/>
            </w:tcBorders>
            <w:shd w:val="clear" w:color="auto" w:fill="auto"/>
            <w:vAlign w:val="center"/>
          </w:tcPr>
          <w:p w:rsidR="00F01006" w:rsidRDefault="00F01006">
            <w:pPr>
              <w:adjustRightInd w:val="0"/>
              <w:contextualSpacing/>
              <w:jc w:val="center"/>
            </w:pPr>
          </w:p>
          <w:p w:rsidR="00F01006" w:rsidRDefault="00F01006">
            <w:pPr>
              <w:adjustRightInd w:val="0"/>
              <w:contextualSpacing/>
              <w:jc w:val="center"/>
            </w:pPr>
          </w:p>
          <w:p w:rsidR="00F01006" w:rsidRDefault="00D42733">
            <w:pPr>
              <w:adjustRightInd w:val="0"/>
              <w:contextualSpacing/>
              <w:jc w:val="center"/>
            </w:pPr>
            <w:r>
              <w:rPr>
                <w:rFonts w:hint="eastAsia"/>
              </w:rPr>
              <w:t>人工智能与机器人单元编程与训练实践</w:t>
            </w:r>
          </w:p>
          <w:p w:rsidR="00F01006" w:rsidRDefault="00D42733">
            <w:pPr>
              <w:adjustRightInd w:val="0"/>
              <w:contextualSpacing/>
              <w:jc w:val="center"/>
            </w:pPr>
            <w:r>
              <w:t>（</w:t>
            </w:r>
            <w:r>
              <w:rPr>
                <w:rFonts w:hint="eastAsia"/>
              </w:rPr>
              <w:t>40</w:t>
            </w:r>
            <w:r>
              <w:t>）</w:t>
            </w:r>
          </w:p>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rPr>
                <w:rFonts w:eastAsiaTheme="minorEastAsia"/>
              </w:rPr>
            </w:pPr>
            <w:r>
              <w:t>语音识别算法</w:t>
            </w:r>
            <w:r>
              <w:rPr>
                <w:rFonts w:hint="eastAsia"/>
              </w:rPr>
              <w:t>调试与训练</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5</w:t>
            </w:r>
          </w:p>
        </w:tc>
        <w:tc>
          <w:tcPr>
            <w:tcW w:w="2455" w:type="dxa"/>
            <w:tcBorders>
              <w:top w:val="single" w:sz="4" w:space="0" w:color="auto"/>
              <w:left w:val="nil"/>
              <w:bottom w:val="single" w:sz="6"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t>视觉定位算法调试</w:t>
            </w:r>
            <w:r>
              <w:rPr>
                <w:rFonts w:hint="eastAsia"/>
              </w:rPr>
              <w:t>与训练</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5</w:t>
            </w:r>
          </w:p>
        </w:tc>
        <w:tc>
          <w:tcPr>
            <w:tcW w:w="2455" w:type="dxa"/>
            <w:tcBorders>
              <w:top w:val="single" w:sz="6" w:space="0" w:color="auto"/>
              <w:left w:val="nil"/>
              <w:bottom w:val="single" w:sz="6"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智能机械臂</w:t>
            </w:r>
            <w:r>
              <w:t>抓取动作学习</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5</w:t>
            </w:r>
          </w:p>
        </w:tc>
        <w:tc>
          <w:tcPr>
            <w:tcW w:w="2455" w:type="dxa"/>
            <w:tcBorders>
              <w:top w:val="single" w:sz="6" w:space="0" w:color="auto"/>
              <w:left w:val="nil"/>
              <w:bottom w:val="single" w:sz="6"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t>传感器数据</w:t>
            </w:r>
            <w:r>
              <w:rPr>
                <w:rFonts w:hint="eastAsia"/>
              </w:rPr>
              <w:t>采集</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3</w:t>
            </w:r>
          </w:p>
        </w:tc>
        <w:tc>
          <w:tcPr>
            <w:tcW w:w="2455" w:type="dxa"/>
            <w:tcBorders>
              <w:top w:val="single" w:sz="6" w:space="0" w:color="auto"/>
              <w:left w:val="nil"/>
              <w:bottom w:val="single" w:sz="6"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分拣机器人编程</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4</w:t>
            </w:r>
          </w:p>
        </w:tc>
        <w:tc>
          <w:tcPr>
            <w:tcW w:w="2455" w:type="dxa"/>
            <w:tcBorders>
              <w:top w:val="single" w:sz="6" w:space="0" w:color="auto"/>
              <w:left w:val="nil"/>
              <w:bottom w:val="single" w:sz="6"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上料机器人编程</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3</w:t>
            </w:r>
          </w:p>
        </w:tc>
        <w:tc>
          <w:tcPr>
            <w:tcW w:w="2455" w:type="dxa"/>
            <w:tcBorders>
              <w:top w:val="single" w:sz="6"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语音交互后指令下达</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5</w:t>
            </w:r>
          </w:p>
        </w:tc>
        <w:tc>
          <w:tcPr>
            <w:tcW w:w="2455" w:type="dxa"/>
            <w:tcBorders>
              <w:top w:val="single" w:sz="6"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pPr>
            <w:r>
              <w:rPr>
                <w:rFonts w:hint="eastAsia"/>
              </w:rPr>
              <w:t>人脸识别身份认证</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5</w:t>
            </w:r>
          </w:p>
        </w:tc>
        <w:tc>
          <w:tcPr>
            <w:tcW w:w="2455" w:type="dxa"/>
            <w:tcBorders>
              <w:top w:val="single" w:sz="6"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trHeight w:val="127"/>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垃圾输送系统的</w:t>
            </w:r>
            <w:r>
              <w:rPr>
                <w:rFonts w:hint="eastAsia"/>
              </w:rPr>
              <w:t>PLC</w:t>
            </w:r>
            <w:r>
              <w:rPr>
                <w:rFonts w:hint="eastAsia"/>
              </w:rPr>
              <w:t>编程调试</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5</w:t>
            </w:r>
          </w:p>
        </w:tc>
        <w:tc>
          <w:tcPr>
            <w:tcW w:w="2455" w:type="dxa"/>
            <w:tcBorders>
              <w:top w:val="single" w:sz="6"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val="restart"/>
            <w:tcBorders>
              <w:top w:val="single" w:sz="4" w:space="0" w:color="auto"/>
              <w:left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系统编程与调试</w:t>
            </w:r>
          </w:p>
          <w:p w:rsidR="00F01006" w:rsidRDefault="00D42733">
            <w:pPr>
              <w:adjustRightInd w:val="0"/>
              <w:contextualSpacing/>
              <w:jc w:val="center"/>
            </w:pPr>
            <w:r>
              <w:rPr>
                <w:rFonts w:hint="eastAsia"/>
              </w:rPr>
              <w:t>（</w:t>
            </w:r>
            <w:r>
              <w:rPr>
                <w:rFonts w:hint="eastAsia"/>
              </w:rPr>
              <w:t>15</w:t>
            </w:r>
            <w:r>
              <w:rPr>
                <w:rFonts w:hint="eastAsia"/>
              </w:rPr>
              <w:t>）</w:t>
            </w: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PC</w:t>
            </w:r>
            <w:r>
              <w:rPr>
                <w:rFonts w:hint="eastAsia"/>
              </w:rPr>
              <w:t>与</w:t>
            </w:r>
            <w:r>
              <w:rPr>
                <w:rFonts w:hint="eastAsia"/>
              </w:rPr>
              <w:t>PLC</w:t>
            </w:r>
            <w:r>
              <w:rPr>
                <w:rFonts w:hint="eastAsia"/>
              </w:rPr>
              <w:t>系统通讯的编程与调试</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5</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tcBorders>
              <w:top w:val="single" w:sz="4" w:space="0" w:color="auto"/>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调试模式下单次命令系统运行</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5</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自动模式下连续分拣系统运行</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5</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val="restart"/>
            <w:tcBorders>
              <w:top w:val="single" w:sz="4" w:space="0" w:color="auto"/>
              <w:left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任务完成情况</w:t>
            </w:r>
          </w:p>
          <w:p w:rsidR="00F01006" w:rsidRDefault="00D42733">
            <w:pPr>
              <w:adjustRightInd w:val="0"/>
              <w:contextualSpacing/>
              <w:jc w:val="center"/>
            </w:pPr>
            <w:r>
              <w:t>（</w:t>
            </w:r>
            <w:r>
              <w:t>1</w:t>
            </w:r>
            <w:r>
              <w:rPr>
                <w:rFonts w:hint="eastAsia"/>
              </w:rPr>
              <w:t>5</w:t>
            </w:r>
            <w:r>
              <w:rPr>
                <w:rFonts w:hint="eastAsia"/>
              </w:rPr>
              <w:t>分</w:t>
            </w:r>
            <w:r>
              <w:t>）</w:t>
            </w:r>
          </w:p>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智能协作机械臂分拣垃圾的准确率</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7</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tcBorders>
              <w:left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智能协作机械臂异常情况下分拣垃圾的准确率</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5</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tcBorders>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完成所有分拣任务的时间效率</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rPr>
                <w:rFonts w:eastAsiaTheme="minorEastAsia"/>
              </w:rPr>
            </w:pPr>
            <w:r>
              <w:rPr>
                <w:rFonts w:hint="eastAsia"/>
              </w:rPr>
              <w:t>3</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结果评分</w:t>
            </w:r>
          </w:p>
        </w:tc>
      </w:tr>
      <w:tr w:rsidR="00F01006">
        <w:trPr>
          <w:jc w:val="center"/>
        </w:trPr>
        <w:tc>
          <w:tcPr>
            <w:tcW w:w="17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职业素养</w:t>
            </w:r>
          </w:p>
          <w:p w:rsidR="00F01006" w:rsidRDefault="00D42733">
            <w:pPr>
              <w:adjustRightInd w:val="0"/>
              <w:contextualSpacing/>
              <w:jc w:val="center"/>
            </w:pPr>
            <w:r>
              <w:rPr>
                <w:rFonts w:hint="eastAsia"/>
              </w:rPr>
              <w:t>（</w:t>
            </w:r>
            <w:r>
              <w:rPr>
                <w:rFonts w:hint="eastAsia"/>
              </w:rPr>
              <w:t>10</w:t>
            </w:r>
            <w:r>
              <w:rPr>
                <w:rFonts w:hint="eastAsia"/>
              </w:rPr>
              <w:t>分）</w:t>
            </w: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pStyle w:val="-"/>
              <w:rPr>
                <w:rFonts w:ascii="Calibri" w:hAnsi="Calibri"/>
                <w:sz w:val="21"/>
              </w:rPr>
            </w:pPr>
            <w:r>
              <w:rPr>
                <w:rFonts w:ascii="Calibri" w:hAnsi="Calibri" w:hint="eastAsia"/>
                <w:sz w:val="21"/>
              </w:rPr>
              <w:t>技术应用合理性</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2</w:t>
            </w:r>
          </w:p>
        </w:tc>
        <w:tc>
          <w:tcPr>
            <w:tcW w:w="2455" w:type="dxa"/>
            <w:vMerge w:val="restart"/>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过程评分</w:t>
            </w:r>
          </w:p>
        </w:tc>
      </w:tr>
      <w:tr w:rsidR="00F01006">
        <w:trPr>
          <w:jc w:val="center"/>
        </w:trPr>
        <w:tc>
          <w:tcPr>
            <w:tcW w:w="1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pStyle w:val="-"/>
              <w:rPr>
                <w:rFonts w:ascii="Calibri" w:hAnsi="Calibri"/>
                <w:sz w:val="21"/>
              </w:rPr>
            </w:pPr>
            <w:r>
              <w:rPr>
                <w:rFonts w:ascii="Calibri" w:hAnsi="Calibri" w:hint="eastAsia"/>
                <w:sz w:val="21"/>
              </w:rPr>
              <w:t>工具操作规范性</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2</w:t>
            </w:r>
          </w:p>
        </w:tc>
        <w:tc>
          <w:tcPr>
            <w:tcW w:w="2455" w:type="dxa"/>
            <w:vMerge/>
            <w:tcBorders>
              <w:top w:val="single" w:sz="4" w:space="0" w:color="auto"/>
              <w:left w:val="nil"/>
              <w:bottom w:val="single" w:sz="4" w:space="0" w:color="auto"/>
              <w:right w:val="single" w:sz="4" w:space="0" w:color="auto"/>
            </w:tcBorders>
            <w:shd w:val="clear" w:color="auto" w:fill="auto"/>
            <w:vAlign w:val="center"/>
          </w:tcPr>
          <w:p w:rsidR="00F01006" w:rsidRDefault="00F01006">
            <w:pPr>
              <w:adjustRightInd w:val="0"/>
              <w:contextualSpacing/>
              <w:jc w:val="center"/>
            </w:pPr>
          </w:p>
        </w:tc>
      </w:tr>
      <w:tr w:rsidR="00F01006">
        <w:trPr>
          <w:jc w:val="center"/>
        </w:trPr>
        <w:tc>
          <w:tcPr>
            <w:tcW w:w="1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pStyle w:val="-"/>
              <w:rPr>
                <w:rFonts w:ascii="Calibri" w:hAnsi="Calibri"/>
                <w:sz w:val="21"/>
              </w:rPr>
            </w:pPr>
            <w:r>
              <w:rPr>
                <w:rFonts w:ascii="Calibri" w:hAnsi="Calibri" w:hint="eastAsia"/>
                <w:sz w:val="21"/>
              </w:rPr>
              <w:t>耗材使用环保性</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2</w:t>
            </w:r>
          </w:p>
        </w:tc>
        <w:tc>
          <w:tcPr>
            <w:tcW w:w="2455" w:type="dxa"/>
            <w:vMerge/>
            <w:tcBorders>
              <w:top w:val="single" w:sz="4" w:space="0" w:color="auto"/>
              <w:left w:val="nil"/>
              <w:bottom w:val="single" w:sz="4" w:space="0" w:color="auto"/>
              <w:right w:val="single" w:sz="4" w:space="0" w:color="auto"/>
            </w:tcBorders>
            <w:shd w:val="clear" w:color="auto" w:fill="auto"/>
            <w:vAlign w:val="center"/>
          </w:tcPr>
          <w:p w:rsidR="00F01006" w:rsidRDefault="00F01006">
            <w:pPr>
              <w:adjustRightInd w:val="0"/>
              <w:contextualSpacing/>
              <w:jc w:val="center"/>
            </w:pPr>
          </w:p>
        </w:tc>
      </w:tr>
      <w:tr w:rsidR="00F01006">
        <w:trPr>
          <w:jc w:val="center"/>
        </w:trPr>
        <w:tc>
          <w:tcPr>
            <w:tcW w:w="1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pStyle w:val="-"/>
              <w:rPr>
                <w:rFonts w:ascii="Calibri" w:hAnsi="Calibri"/>
                <w:sz w:val="21"/>
              </w:rPr>
            </w:pPr>
            <w:r>
              <w:rPr>
                <w:rFonts w:asciiTheme="minorHAnsi" w:eastAsiaTheme="minorEastAsia" w:hAnsiTheme="minorHAnsi" w:cstheme="minorBidi" w:hint="eastAsia"/>
                <w:sz w:val="21"/>
              </w:rPr>
              <w:t>现场安全、文明</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2</w:t>
            </w:r>
          </w:p>
        </w:tc>
        <w:tc>
          <w:tcPr>
            <w:tcW w:w="2455" w:type="dxa"/>
            <w:vMerge/>
            <w:tcBorders>
              <w:top w:val="single" w:sz="4" w:space="0" w:color="auto"/>
              <w:left w:val="nil"/>
              <w:bottom w:val="single" w:sz="4" w:space="0" w:color="auto"/>
              <w:right w:val="single" w:sz="4" w:space="0" w:color="auto"/>
            </w:tcBorders>
            <w:shd w:val="clear" w:color="auto" w:fill="auto"/>
            <w:vAlign w:val="center"/>
          </w:tcPr>
          <w:p w:rsidR="00F01006" w:rsidRDefault="00F01006">
            <w:pPr>
              <w:adjustRightInd w:val="0"/>
              <w:contextualSpacing/>
            </w:pPr>
          </w:p>
        </w:tc>
      </w:tr>
      <w:tr w:rsidR="00F01006">
        <w:trPr>
          <w:jc w:val="center"/>
        </w:trPr>
        <w:tc>
          <w:tcPr>
            <w:tcW w:w="1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F01006">
            <w:pPr>
              <w:adjustRightInd w:val="0"/>
              <w:contextualSpacing/>
              <w:jc w:val="center"/>
            </w:pPr>
          </w:p>
        </w:tc>
        <w:tc>
          <w:tcPr>
            <w:tcW w:w="3669" w:type="dxa"/>
            <w:tcBorders>
              <w:top w:val="single" w:sz="4" w:space="0" w:color="auto"/>
              <w:left w:val="nil"/>
              <w:bottom w:val="single" w:sz="4" w:space="0" w:color="auto"/>
              <w:right w:val="single" w:sz="4" w:space="0" w:color="auto"/>
            </w:tcBorders>
            <w:shd w:val="clear" w:color="auto" w:fill="auto"/>
            <w:vAlign w:val="center"/>
          </w:tcPr>
          <w:p w:rsidR="00F01006" w:rsidRDefault="00D42733">
            <w:pPr>
              <w:pStyle w:val="-"/>
              <w:rPr>
                <w:rFonts w:ascii="Calibri" w:hAnsi="Calibri"/>
                <w:sz w:val="21"/>
              </w:rPr>
            </w:pPr>
            <w:r>
              <w:rPr>
                <w:rFonts w:asciiTheme="minorHAnsi" w:eastAsiaTheme="minorEastAsia" w:hAnsiTheme="minorHAnsi" w:cstheme="minorBidi" w:hint="eastAsia"/>
                <w:sz w:val="21"/>
              </w:rPr>
              <w:t>5S</w:t>
            </w:r>
            <w:r>
              <w:rPr>
                <w:rFonts w:asciiTheme="minorHAnsi" w:eastAsiaTheme="minorEastAsia" w:hAnsiTheme="minorHAnsi" w:cstheme="minorBidi" w:hint="eastAsia"/>
                <w:sz w:val="21"/>
              </w:rPr>
              <w:t>管理</w:t>
            </w:r>
          </w:p>
        </w:tc>
        <w:tc>
          <w:tcPr>
            <w:tcW w:w="722" w:type="dxa"/>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t>2</w:t>
            </w:r>
          </w:p>
        </w:tc>
        <w:tc>
          <w:tcPr>
            <w:tcW w:w="2455" w:type="dxa"/>
            <w:vMerge/>
            <w:tcBorders>
              <w:top w:val="single" w:sz="4" w:space="0" w:color="auto"/>
              <w:left w:val="nil"/>
              <w:bottom w:val="single" w:sz="4" w:space="0" w:color="auto"/>
              <w:right w:val="single" w:sz="4" w:space="0" w:color="auto"/>
            </w:tcBorders>
            <w:shd w:val="clear" w:color="auto" w:fill="auto"/>
            <w:vAlign w:val="center"/>
          </w:tcPr>
          <w:p w:rsidR="00F01006" w:rsidRDefault="00F01006">
            <w:pPr>
              <w:adjustRightInd w:val="0"/>
              <w:contextualSpacing/>
            </w:pPr>
          </w:p>
        </w:tc>
      </w:tr>
      <w:tr w:rsidR="00F01006">
        <w:trPr>
          <w:trHeight w:val="468"/>
          <w:jc w:val="center"/>
        </w:trPr>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总</w:t>
            </w:r>
            <w:r>
              <w:rPr>
                <w:rFonts w:hint="eastAsia"/>
              </w:rPr>
              <w:t xml:space="preserve">  </w:t>
            </w:r>
            <w:r>
              <w:rPr>
                <w:rFonts w:hint="eastAsia"/>
              </w:rPr>
              <w:t>计</w:t>
            </w:r>
          </w:p>
        </w:tc>
        <w:tc>
          <w:tcPr>
            <w:tcW w:w="4391" w:type="dxa"/>
            <w:gridSpan w:val="2"/>
            <w:tcBorders>
              <w:top w:val="single" w:sz="4" w:space="0" w:color="auto"/>
              <w:left w:val="nil"/>
              <w:bottom w:val="single" w:sz="4" w:space="0" w:color="auto"/>
              <w:right w:val="single" w:sz="4" w:space="0" w:color="auto"/>
            </w:tcBorders>
            <w:shd w:val="clear" w:color="auto" w:fill="auto"/>
            <w:vAlign w:val="center"/>
          </w:tcPr>
          <w:p w:rsidR="00F01006" w:rsidRDefault="00D42733">
            <w:pPr>
              <w:adjustRightInd w:val="0"/>
              <w:contextualSpacing/>
              <w:jc w:val="center"/>
            </w:pPr>
            <w:r>
              <w:rPr>
                <w:rFonts w:hint="eastAsia"/>
              </w:rPr>
              <w:t>100%</w:t>
            </w:r>
          </w:p>
        </w:tc>
        <w:tc>
          <w:tcPr>
            <w:tcW w:w="2455" w:type="dxa"/>
            <w:tcBorders>
              <w:top w:val="single" w:sz="4" w:space="0" w:color="auto"/>
              <w:left w:val="nil"/>
              <w:bottom w:val="single" w:sz="4" w:space="0" w:color="auto"/>
              <w:right w:val="single" w:sz="4" w:space="0" w:color="auto"/>
            </w:tcBorders>
            <w:shd w:val="clear" w:color="auto" w:fill="auto"/>
            <w:vAlign w:val="center"/>
          </w:tcPr>
          <w:p w:rsidR="00F01006" w:rsidRDefault="00F01006">
            <w:pPr>
              <w:adjustRightInd w:val="0"/>
              <w:contextualSpacing/>
              <w:jc w:val="center"/>
            </w:pPr>
          </w:p>
        </w:tc>
      </w:tr>
    </w:tbl>
    <w:p w:rsidR="00F01006" w:rsidRDefault="00F01006">
      <w:pPr>
        <w:snapToGrid w:val="0"/>
        <w:spacing w:line="540" w:lineRule="exact"/>
        <w:ind w:firstLineChars="200" w:firstLine="600"/>
        <w:rPr>
          <w:rFonts w:ascii="Arial Narrow" w:eastAsia="仿宋_GB2312" w:hAnsi="Arial Narrow" w:cs="Arial"/>
          <w:color w:val="000000"/>
          <w:sz w:val="30"/>
          <w:szCs w:val="30"/>
        </w:rPr>
      </w:pPr>
    </w:p>
    <w:p w:rsidR="00F01006" w:rsidRDefault="00D42733">
      <w:pPr>
        <w:snapToGrid w:val="0"/>
        <w:spacing w:line="540" w:lineRule="exact"/>
        <w:ind w:firstLineChars="200" w:firstLine="600"/>
        <w:rPr>
          <w:rFonts w:ascii="楷体" w:eastAsia="楷体" w:hAnsi="楷体" w:cs="仿宋"/>
          <w:sz w:val="30"/>
          <w:szCs w:val="30"/>
        </w:rPr>
      </w:pPr>
      <w:r>
        <w:rPr>
          <w:rFonts w:ascii="楷体" w:eastAsia="楷体" w:hAnsi="楷体" w:cs="仿宋" w:hint="eastAsia"/>
          <w:sz w:val="30"/>
          <w:szCs w:val="30"/>
        </w:rPr>
        <w:t>（三）奖项设置</w:t>
      </w:r>
    </w:p>
    <w:p w:rsidR="00F01006" w:rsidRDefault="00D42733">
      <w:pPr>
        <w:pStyle w:val="20"/>
        <w:tabs>
          <w:tab w:val="left" w:pos="425"/>
        </w:tabs>
        <w:spacing w:line="560" w:lineRule="exact"/>
        <w:ind w:firstLineChars="200" w:firstLine="600"/>
        <w:jc w:val="left"/>
        <w:outlineLvl w:val="2"/>
        <w:rPr>
          <w:rFonts w:ascii="仿宋_GB2312" w:eastAsia="仿宋_GB2312" w:hAnsi="宋体"/>
          <w:sz w:val="30"/>
          <w:szCs w:val="30"/>
        </w:rPr>
      </w:pPr>
      <w:r>
        <w:rPr>
          <w:rFonts w:ascii="仿宋_GB2312" w:eastAsia="仿宋_GB2312" w:hAnsi="宋体" w:hint="eastAsia"/>
          <w:sz w:val="30"/>
          <w:szCs w:val="30"/>
        </w:rPr>
        <w:t>1.赛项设团体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以实际参赛队总数为基数，一、二、三等奖获奖比例分别为10%、2</w:t>
      </w:r>
      <w:r>
        <w:rPr>
          <w:rFonts w:ascii="仿宋_GB2312" w:eastAsia="仿宋_GB2312" w:hAnsi="宋体" w:hint="eastAsia"/>
          <w:sz w:val="30"/>
          <w:szCs w:val="30"/>
        </w:rPr>
        <w:t>5</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当总分相同时，取并列名次。</w:t>
      </w:r>
    </w:p>
    <w:p w:rsidR="00F01006" w:rsidRDefault="00D42733">
      <w:pPr>
        <w:snapToGrid w:val="0"/>
        <w:spacing w:line="540" w:lineRule="exact"/>
        <w:ind w:firstLineChars="200" w:firstLine="600"/>
        <w:rPr>
          <w:rFonts w:ascii="Arial Narrow" w:eastAsia="仿宋_GB2312" w:hAnsi="Arial Narrow" w:cs="Arial"/>
          <w:color w:val="000000"/>
          <w:sz w:val="30"/>
          <w:szCs w:val="30"/>
        </w:rPr>
      </w:pPr>
      <w:r>
        <w:rPr>
          <w:rFonts w:ascii="仿宋_GB2312" w:eastAsia="仿宋_GB2312" w:hAnsi="仿宋_GB2312" w:cs="仿宋_GB2312" w:hint="eastAsia"/>
          <w:bCs/>
          <w:sz w:val="30"/>
          <w:szCs w:val="30"/>
        </w:rPr>
        <w:t>2.获得团体一等奖参赛队的指导教师，由主办方授予“2019年度机械行业职业教育技能大赛优秀指导教师”，并颁发荣誉证书。</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九、赛项安全</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w:t>
      </w:r>
      <w:r>
        <w:rPr>
          <w:rFonts w:ascii="仿宋_GB2312" w:eastAsia="仿宋_GB2312" w:hAnsi="仿宋_GB2312" w:cs="仿宋_GB2312" w:hint="eastAsia"/>
          <w:kern w:val="0"/>
          <w:sz w:val="30"/>
          <w:szCs w:val="30"/>
        </w:rPr>
        <w:lastRenderedPageBreak/>
        <w:t>程，安全、合理的使用各种设施设备和工具，出现严重违章操作加工设备的，裁判视情节轻重进行批评和终止竞赛。</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F01006" w:rsidRDefault="00D42733">
      <w:pPr>
        <w:pStyle w:val="a3"/>
        <w:spacing w:line="54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F01006" w:rsidRDefault="00D42733">
      <w:pPr>
        <w:snapToGrid w:val="0"/>
        <w:spacing w:line="54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十、竞赛须知</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（一）组织机构</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成立安全管理机构负责本赛项筹备和比赛期间的各项安全工作，赛项执委会主任为第一责任人。</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指定安全管理的相应规范、流程和突发事件应急预案，保证比赛筹备和实施全过程的安全。</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指定</w:t>
      </w:r>
      <w:r>
        <w:rPr>
          <w:rFonts w:ascii="Arial Narrow" w:eastAsia="仿宋_GB2312" w:hAnsi="Arial Narrow" w:cs="Arial"/>
          <w:sz w:val="30"/>
          <w:szCs w:val="30"/>
        </w:rPr>
        <w:t>1</w:t>
      </w:r>
      <w:r>
        <w:rPr>
          <w:rFonts w:ascii="Arial Narrow" w:eastAsia="仿宋_GB2312" w:hAnsi="Arial Narrow" w:cs="Arial" w:hint="eastAsia"/>
          <w:sz w:val="30"/>
          <w:szCs w:val="30"/>
        </w:rPr>
        <w:t>名执委会副主任负责赛场安全。赛项执委会在赛前一周会同当地消防部门、质量监督部门检查赛场消防设施和比赛设备安全性能，并按消防、质监部门意见整改。赛前两天，执委会主任会同赛项专家组对赛场进行验收。</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lastRenderedPageBreak/>
        <w:t>4.</w:t>
      </w:r>
      <w:r>
        <w:rPr>
          <w:rFonts w:ascii="Arial Narrow" w:eastAsia="仿宋_GB2312" w:hAnsi="Arial Narrow" w:cs="Arial" w:hint="eastAsia"/>
          <w:sz w:val="30"/>
          <w:szCs w:val="30"/>
        </w:rPr>
        <w:t>指定</w:t>
      </w:r>
      <w:r>
        <w:rPr>
          <w:rFonts w:ascii="Arial Narrow" w:eastAsia="仿宋_GB2312" w:hAnsi="Arial Narrow" w:cs="Arial"/>
          <w:sz w:val="30"/>
          <w:szCs w:val="30"/>
        </w:rPr>
        <w:t>1</w:t>
      </w:r>
      <w:r>
        <w:rPr>
          <w:rFonts w:ascii="Arial Narrow" w:eastAsia="仿宋_GB2312" w:hAnsi="Arial Narrow" w:cs="Arial" w:hint="eastAsia"/>
          <w:sz w:val="30"/>
          <w:szCs w:val="30"/>
        </w:rPr>
        <w:t>名执委会副主任负责住宿与饮食安全。执委会会同当地公安部门，食品卫生部门，检查并验收驻地的安全设施和饮食卫生，保证选手的住宿安全和饮食安全。</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（二）赛项安全</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比赛内容设计的器材、设备符合国家有关安全规定。赛项专家工作组充分考虑比赛内容和所用器材、耗材可能存在的不安全因素，通过完善设计规避风险，采取有效防范措施保证选手备赛和比赛安全。危险警示和防范措施在赛项技术文件中加以说明。</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赛项技术文件包含国家（或行业）有关职业岗位安全的规范、条例等内容。</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对相关人员进行安全培训。</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4.</w:t>
      </w:r>
      <w:r>
        <w:rPr>
          <w:rFonts w:ascii="Arial Narrow" w:eastAsia="仿宋_GB2312" w:hAnsi="Arial Narrow" w:cs="Arial" w:hint="eastAsia"/>
          <w:sz w:val="30"/>
          <w:szCs w:val="30"/>
        </w:rPr>
        <w:t>赛项执委会指定专门方案保证比赛命题以及赛题保管、方法、回收和评判过程的安全。</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（三）比赛环境</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赛项执委会在赛前组织专人对比赛现场、住宿场所和交通保障进行考察，并对安全工作提出明确要求。赛场的布置，赛场内的器材、设备，符合国家有关安全规定。进行赛场仿真模拟测试。承办院校赛前须按照赛项执委会要求排除安全隐患。</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赛场周围设立警戒线，防止无关人员进入，发生意外事件。比赛现场参照相关职业岗位的要求为选手提供必要的劳动保护。在具有危险性的操作环节，裁判员严防选手出现错误操作。</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承办院校提供保证应急预案实施的条件。对于比赛内容涉</w:t>
      </w:r>
      <w:r>
        <w:rPr>
          <w:rFonts w:ascii="Arial Narrow" w:eastAsia="仿宋_GB2312" w:hAnsi="Arial Narrow" w:cs="Arial" w:hint="eastAsia"/>
          <w:sz w:val="30"/>
          <w:szCs w:val="30"/>
        </w:rPr>
        <w:lastRenderedPageBreak/>
        <w:t>及高空作业、坠物、用电量大、易发生火灾等情况，明确制度和预案，并配备急救人员与抢救措施。</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4.</w:t>
      </w:r>
      <w:r>
        <w:rPr>
          <w:rFonts w:ascii="Arial Narrow" w:eastAsia="仿宋_GB2312" w:hAnsi="Arial Narrow" w:cs="Arial" w:hint="eastAsia"/>
          <w:sz w:val="30"/>
          <w:szCs w:val="30"/>
        </w:rPr>
        <w:t>赛项执委会会同承办校制定开放赛场和体验区的人员疏导方案。赛场环境中存在人员密集、车流与人流交错的区域，除了设置齐全的指示标志外，增加引导人员，并开辟备用通道。</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5.</w:t>
      </w:r>
      <w:r>
        <w:rPr>
          <w:rFonts w:ascii="Arial Narrow" w:eastAsia="仿宋_GB2312" w:hAnsi="Arial Narrow" w:cs="Arial" w:hint="eastAsia"/>
          <w:sz w:val="30"/>
          <w:szCs w:val="30"/>
        </w:rPr>
        <w:t>大赛期间，赛项承办院校在赛场设置医疗医护工作站。在管理的关键岗位，增加力量，建立安全管理日志。</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6.</w:t>
      </w:r>
      <w:r>
        <w:rPr>
          <w:rFonts w:ascii="Arial Narrow" w:eastAsia="仿宋_GB2312" w:hAnsi="Arial Narrow" w:cs="Arial" w:hint="eastAsia"/>
          <w:sz w:val="30"/>
          <w:szCs w:val="30"/>
        </w:rPr>
        <w:t>参赛选手、赛项裁判、工作人员严禁携带通讯、摄录设备和未经许可的记录用具进入比赛区域；如确有需要，由赛项承办单位统一配置，统一管理。赛项可根据需要配置安检设备，对进入赛场重要区域的人员进行安检，可在赛场相关区域安放无线屏蔽设备。</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（四）生活条件</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比赛期间，原则上由赛项承办校统一安排参赛选手和指导教师食宿。承办校须尊重少数民族参赛人员的宗教信仰及文化习俗，根据国家相关的民族、宗教政策，安排好少数民族参赛选手和教师的饮食起居。</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比赛期间安排的住宿场所应具有旅游业经营许可资质。</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大赛期间有组织的参观和观摩活动的交通安全由赛区组委会负责。赛项执委会和承办院校保证比赛期间选手、指导教师、裁判员和工作人员的交通安全。</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4.</w:t>
      </w:r>
      <w:r>
        <w:rPr>
          <w:rFonts w:ascii="Arial Narrow" w:eastAsia="仿宋_GB2312" w:hAnsi="Arial Narrow" w:cs="Arial" w:hint="eastAsia"/>
          <w:sz w:val="30"/>
          <w:szCs w:val="30"/>
        </w:rPr>
        <w:t>赛项的安全管理，除必要的安全隔离措施外，严格遵守国</w:t>
      </w:r>
      <w:r>
        <w:rPr>
          <w:rFonts w:ascii="Arial Narrow" w:eastAsia="仿宋_GB2312" w:hAnsi="Arial Narrow" w:cs="Arial" w:hint="eastAsia"/>
          <w:sz w:val="30"/>
          <w:szCs w:val="30"/>
        </w:rPr>
        <w:lastRenderedPageBreak/>
        <w:t>家相关法律法规，保护个人隐私和人身自由。</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（五）参赛队职责</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各省在组织参赛队时，为参赛选手购买大赛期间的人身意外伤害保险。</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各省参赛队组成后，制定相关安全管理制度，落实安全责任制，确定安全责任人，签订安全承诺书，与赛项责任单位一起共同确保参赛期间参赛人员的人身财产安全。</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各参赛单位须加强对参赛人员的安全管理及教育，并与赛场安全管理对接。</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（六）选手安全</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选手进入赛场，必须穿着符合安全要求的服装。不得穿背心、短裤、拖鞋、高跟鞋等进入竞赛场地。</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参赛选手要遵守电气设备安装工、计算机程序员及相关工种的的安全工作要求。</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参赛人员应爱护竞赛场所的仪器设备，操作设备时应按规定的操作程序谨慎操作，不得触动非竞赛用仪器设备。操作中若违反安全操作规定导致发生较严重的安全事故，将立即取消竞赛资格。</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4.</w:t>
      </w:r>
      <w:r>
        <w:rPr>
          <w:rFonts w:ascii="Arial Narrow" w:eastAsia="仿宋_GB2312" w:hAnsi="Arial Narrow" w:cs="Arial" w:hint="eastAsia"/>
          <w:sz w:val="30"/>
          <w:szCs w:val="30"/>
        </w:rPr>
        <w:t>连接电路时应断开电源，不允许带电连接电路；断开电源开关后，必须用验电器进行验电，确认无电后方可连接电路。</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5.</w:t>
      </w:r>
      <w:r>
        <w:rPr>
          <w:rFonts w:ascii="Arial Narrow" w:eastAsia="仿宋_GB2312" w:hAnsi="Arial Narrow" w:cs="Arial" w:hint="eastAsia"/>
          <w:sz w:val="30"/>
          <w:szCs w:val="30"/>
        </w:rPr>
        <w:t>进行设备组装和调试时，工具和检测仪器、仪表等应放置在规定的位置，不得摆放在设备平台上。</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lastRenderedPageBreak/>
        <w:t>6.</w:t>
      </w:r>
      <w:r>
        <w:rPr>
          <w:rFonts w:ascii="Arial Narrow" w:eastAsia="仿宋_GB2312" w:hAnsi="Arial Narrow" w:cs="Arial" w:hint="eastAsia"/>
          <w:sz w:val="30"/>
          <w:szCs w:val="30"/>
        </w:rPr>
        <w:t>进行设备调试时，应先确认设备接线无误，且工作台上无异物，方可合闸通电。身体的任何部位不得触及带电的物体。</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7.</w:t>
      </w:r>
      <w:r>
        <w:rPr>
          <w:rFonts w:ascii="Arial Narrow" w:eastAsia="仿宋_GB2312" w:hAnsi="Arial Narrow" w:cs="Arial" w:hint="eastAsia"/>
          <w:sz w:val="30"/>
          <w:szCs w:val="30"/>
        </w:rPr>
        <w:t>当更改或调整电气线路时，必须断开电源和气源，方能进行操作。</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8.</w:t>
      </w:r>
      <w:r>
        <w:rPr>
          <w:rFonts w:ascii="Arial Narrow" w:eastAsia="仿宋_GB2312" w:hAnsi="Arial Narrow" w:cs="Arial" w:hint="eastAsia"/>
          <w:sz w:val="30"/>
          <w:szCs w:val="30"/>
        </w:rPr>
        <w:t>有可能造成意外带电的机械部件、电气元件的金属外壳等都必须接地，赛场提供的黄、绿双色绝缘导线，只能作接地线。</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9.</w:t>
      </w:r>
      <w:r>
        <w:rPr>
          <w:rFonts w:ascii="Arial Narrow" w:eastAsia="仿宋_GB2312" w:hAnsi="Arial Narrow" w:cs="Arial" w:hint="eastAsia"/>
          <w:sz w:val="30"/>
          <w:szCs w:val="30"/>
        </w:rPr>
        <w:t>带电调试和检查电路时，必须有防止触及带电体和电路中裸露带电部位的措施，必须有防止短路的措施。</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10.</w:t>
      </w:r>
      <w:r>
        <w:rPr>
          <w:rFonts w:ascii="Arial Narrow" w:eastAsia="仿宋_GB2312" w:hAnsi="Arial Narrow" w:cs="Arial" w:hint="eastAsia"/>
          <w:sz w:val="30"/>
          <w:szCs w:val="30"/>
        </w:rPr>
        <w:t>竞赛结束时，参赛选手必须清扫、整理工作现场，听从赛场工作人员指挥，有序离开赛场。</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（七）安保工作</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指挥员在发生突发事件时要掌握信息，统一布置工作，其他人员不得干扰。</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发生突发事件时，</w:t>
      </w:r>
      <w:bookmarkStart w:id="0" w:name="OLE_LINK6"/>
      <w:r>
        <w:rPr>
          <w:rFonts w:ascii="Arial Narrow" w:eastAsia="仿宋_GB2312" w:hAnsi="Arial Narrow" w:cs="Arial" w:hint="eastAsia"/>
          <w:sz w:val="30"/>
          <w:szCs w:val="30"/>
        </w:rPr>
        <w:t>全体安全保卫人员必须</w:t>
      </w:r>
      <w:bookmarkEnd w:id="0"/>
      <w:r>
        <w:rPr>
          <w:rFonts w:ascii="Arial Narrow" w:eastAsia="仿宋_GB2312" w:hAnsi="Arial Narrow" w:cs="Arial" w:hint="eastAsia"/>
          <w:sz w:val="30"/>
          <w:szCs w:val="30"/>
        </w:rPr>
        <w:t>服从命令、听众指挥，以大局为重，不得顶撞、拖延或临时逃脱。</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突发事件发生时，全体安全保卫人员要坚守岗位、尽职尽责，在未接到撤岗指令之前，不得离开岗位。</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4.</w:t>
      </w:r>
      <w:r>
        <w:rPr>
          <w:rFonts w:ascii="Arial Narrow" w:eastAsia="仿宋_GB2312" w:hAnsi="Arial Narrow" w:cs="Arial" w:hint="eastAsia"/>
          <w:sz w:val="30"/>
          <w:szCs w:val="30"/>
        </w:rPr>
        <w:t>发现安全隐患或突发事件时，现场人员应立即向保卫组汇报，保卫组接报后要火速到达案发现场，指挥并配合公安干警及安全保卫人员搞好抢救工作。</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5.</w:t>
      </w:r>
      <w:r>
        <w:rPr>
          <w:rFonts w:ascii="Arial Narrow" w:eastAsia="仿宋_GB2312" w:hAnsi="Arial Narrow" w:cs="Arial" w:hint="eastAsia"/>
          <w:sz w:val="30"/>
          <w:szCs w:val="30"/>
        </w:rPr>
        <w:t>视突发事件的具体情况，分别向上级主管部门和相关部门报告，并立即启动《赛区安全保卫突发事件处理预案》。</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lastRenderedPageBreak/>
        <w:t>6.</w:t>
      </w:r>
      <w:r>
        <w:rPr>
          <w:rFonts w:ascii="Arial Narrow" w:eastAsia="仿宋_GB2312" w:hAnsi="Arial Narrow" w:cs="Arial" w:hint="eastAsia"/>
          <w:sz w:val="30"/>
          <w:szCs w:val="30"/>
        </w:rPr>
        <w:t>发生火警和恶性事件时，现场人员可主动向公安机关报警并向领导汇报，立即组织抢救，以免贻误时机；启用消防应急广播，通知疏散路线，稳定人心，避免踩踏伤人。</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7.</w:t>
      </w:r>
      <w:r>
        <w:rPr>
          <w:rFonts w:ascii="Arial Narrow" w:eastAsia="仿宋_GB2312" w:hAnsi="Arial Narrow" w:cs="Arial" w:hint="eastAsia"/>
          <w:sz w:val="30"/>
          <w:szCs w:val="30"/>
        </w:rPr>
        <w:t>安全出口执勤人员，接到指令后立即打开出口门，疏导参赛人员有序撤离现场。</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（八）裁判安全</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参赛选手有故意损坏设备或故意伤害他人或自己的行为时，现场裁判应立即制止，报告裁判长，经裁判长报执委会并经执委会同意后终止该参赛选手比赛资格。</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裁判在执裁过程中如发现选手操作存在安全隐患时应及时制止或采取切断电源等紧急补救措施。</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裁判在执裁过程中发现其他安全隐患应立即通知裁判长并上报执委会，由执委会采取紧急补救措施。</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（九）赛场文明</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进入赛场人员要严格服从赛场工作人员的指挥，遵守赛场秩序，服从赛场工作人员的引导和安排。观摩人员要在指定区域观摩，切忌越过设置的警戒线。</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在赛场观摩比赛时不要大声喧哗，不要拥挤推搡，以免影响比赛正常进行。</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3.</w:t>
      </w:r>
      <w:r>
        <w:rPr>
          <w:rFonts w:ascii="Arial Narrow" w:eastAsia="仿宋_GB2312" w:hAnsi="Arial Narrow" w:cs="Arial" w:hint="eastAsia"/>
          <w:sz w:val="30"/>
          <w:szCs w:val="30"/>
        </w:rPr>
        <w:t>赛场内严禁吸烟，严禁携带易燃易爆物品入场。</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4.</w:t>
      </w:r>
      <w:r>
        <w:rPr>
          <w:rFonts w:ascii="Arial Narrow" w:eastAsia="仿宋_GB2312" w:hAnsi="Arial Narrow" w:cs="Arial" w:hint="eastAsia"/>
          <w:sz w:val="30"/>
          <w:szCs w:val="30"/>
        </w:rPr>
        <w:t>进入赛区的人员请爱护现场各类物品，爱护公共环境，不随意张贴个人资料。</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lastRenderedPageBreak/>
        <w:t>5.</w:t>
      </w:r>
      <w:r>
        <w:rPr>
          <w:rFonts w:ascii="Arial Narrow" w:eastAsia="仿宋_GB2312" w:hAnsi="Arial Narrow" w:cs="Arial" w:hint="eastAsia"/>
          <w:sz w:val="30"/>
          <w:szCs w:val="30"/>
        </w:rPr>
        <w:t>遇到问题和意外事件时，及时向现场工作人员寻求帮助。</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6.</w:t>
      </w:r>
      <w:r>
        <w:rPr>
          <w:rFonts w:ascii="Arial Narrow" w:eastAsia="仿宋_GB2312" w:hAnsi="Arial Narrow" w:cs="Arial" w:hint="eastAsia"/>
          <w:sz w:val="30"/>
          <w:szCs w:val="30"/>
        </w:rPr>
        <w:t>发生火灾或突发事件时，要服从赛场服务人员指挥，有序撤离现场，避免慌乱，踩踏伤人。</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7.</w:t>
      </w:r>
      <w:r>
        <w:rPr>
          <w:rFonts w:ascii="Arial Narrow" w:eastAsia="仿宋_GB2312" w:hAnsi="Arial Narrow" w:cs="Arial" w:hint="eastAsia"/>
          <w:sz w:val="30"/>
          <w:szCs w:val="30"/>
        </w:rPr>
        <w:t>遇到紧急情况发生拥挤时，应保持镇静，在相对安全地点作短暂停留。人群拥挤时，要双手抱住胸口，防止内脏被挤压受伤。在人群中不小心跌到时，应立即收缩身体、抱紧头，尽量减少伤害。</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8.</w:t>
      </w:r>
      <w:r>
        <w:rPr>
          <w:rFonts w:ascii="Arial Narrow" w:eastAsia="仿宋_GB2312" w:hAnsi="Arial Narrow" w:cs="Arial" w:hint="eastAsia"/>
          <w:sz w:val="30"/>
          <w:szCs w:val="30"/>
        </w:rPr>
        <w:t>如遇特殊情况，服从大赛统一指挥。</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9.</w:t>
      </w:r>
      <w:r>
        <w:rPr>
          <w:rFonts w:ascii="Arial Narrow" w:eastAsia="仿宋_GB2312" w:hAnsi="Arial Narrow" w:cs="Arial" w:hint="eastAsia"/>
          <w:sz w:val="30"/>
          <w:szCs w:val="30"/>
        </w:rPr>
        <w:t>设置突发事件应急疏散示意图。</w:t>
      </w:r>
    </w:p>
    <w:p w:rsidR="00F01006" w:rsidRDefault="00D42733">
      <w:pPr>
        <w:ind w:firstLineChars="200" w:firstLine="600"/>
        <w:contextualSpacing/>
        <w:outlineLvl w:val="1"/>
        <w:rPr>
          <w:rFonts w:ascii="Arial Narrow" w:eastAsia="仿宋_GB2312" w:hAnsi="Arial Narrow" w:cs="Arial"/>
          <w:sz w:val="30"/>
          <w:szCs w:val="30"/>
        </w:rPr>
      </w:pPr>
      <w:r>
        <w:rPr>
          <w:rFonts w:ascii="Arial Narrow" w:eastAsia="仿宋_GB2312" w:hAnsi="Arial Narrow" w:cs="Arial" w:hint="eastAsia"/>
          <w:sz w:val="30"/>
          <w:szCs w:val="30"/>
        </w:rPr>
        <w:t>（十）应急处理预案</w:t>
      </w:r>
    </w:p>
    <w:p w:rsidR="00F01006" w:rsidRDefault="00D42733">
      <w:pPr>
        <w:ind w:firstLineChars="200" w:firstLine="600"/>
        <w:contextualSpacing/>
        <w:rPr>
          <w:rFonts w:ascii="Arial Narrow" w:eastAsia="仿宋_GB2312" w:hAnsi="Arial Narrow" w:cs="Arial"/>
          <w:sz w:val="30"/>
          <w:szCs w:val="30"/>
        </w:rPr>
      </w:pPr>
      <w:r>
        <w:rPr>
          <w:rFonts w:ascii="Arial Narrow" w:eastAsia="仿宋_GB2312" w:hAnsi="Arial Narrow" w:cs="Arial"/>
          <w:sz w:val="30"/>
          <w:szCs w:val="30"/>
        </w:rPr>
        <w:t>1.</w:t>
      </w:r>
      <w:r>
        <w:rPr>
          <w:rFonts w:ascii="Arial Narrow" w:eastAsia="仿宋_GB2312" w:hAnsi="Arial Narrow" w:cs="Arial" w:hint="eastAsia"/>
          <w:sz w:val="30"/>
          <w:szCs w:val="30"/>
        </w:rPr>
        <w:t>比赛期间发生意外事故外，发现者应在第一时间报告赛项执委会，同时采取措施，避免事态扩大。赛项执委会应立即启动预案予以解决并向赛区执委会报告。出现重大安全问题可以停赛，是否停赛由赛区组委会决定。事后，赛区执委会向大赛执委会报告详细情况。</w:t>
      </w:r>
    </w:p>
    <w:p w:rsidR="00F01006" w:rsidRDefault="00D42733">
      <w:pPr>
        <w:snapToGrid w:val="0"/>
        <w:spacing w:line="540" w:lineRule="exact"/>
        <w:ind w:firstLineChars="200" w:firstLine="600"/>
        <w:rPr>
          <w:rFonts w:ascii="Arial Narrow" w:eastAsia="仿宋_GB2312" w:hAnsi="Arial Narrow" w:cs="Arial"/>
          <w:sz w:val="30"/>
          <w:szCs w:val="30"/>
        </w:rPr>
      </w:pPr>
      <w:r>
        <w:rPr>
          <w:rFonts w:ascii="Arial Narrow" w:eastAsia="仿宋_GB2312" w:hAnsi="Arial Narrow" w:cs="Arial"/>
          <w:sz w:val="30"/>
          <w:szCs w:val="30"/>
        </w:rPr>
        <w:t>2.</w:t>
      </w:r>
      <w:r>
        <w:rPr>
          <w:rFonts w:ascii="Arial Narrow" w:eastAsia="仿宋_GB2312" w:hAnsi="Arial Narrow" w:cs="Arial" w:hint="eastAsia"/>
          <w:sz w:val="30"/>
          <w:szCs w:val="30"/>
        </w:rPr>
        <w:t>出现安全事故，首先追究赛项相关责任人的责任。赛事工作人员违规的，按照相应的制度追究责任。情节严重并造成重大安全事故的，报相关部门按相关政策法规追究相应责任。</w:t>
      </w: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十一、申诉与仲裁</w:t>
      </w:r>
    </w:p>
    <w:p w:rsidR="00F01006" w:rsidRDefault="00D4273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（一）申诉</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1.参赛队对不符合竞赛规定的设备、工具、软件，有失公正的评判、奖励，以及对工作人员的违规行为等均可提出申诉。</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2.申诉应在竞赛结束后2小时内提出，超过时效将不予受理。</w:t>
      </w:r>
      <w:r>
        <w:rPr>
          <w:rFonts w:ascii="仿宋_GB2312" w:eastAsia="仿宋_GB2312" w:hAnsi="仿宋_GB2312" w:cs="仿宋_GB2312" w:hint="eastAsia"/>
          <w:kern w:val="0"/>
          <w:sz w:val="30"/>
          <w:szCs w:val="30"/>
        </w:rPr>
        <w:lastRenderedPageBreak/>
        <w:t>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4.申诉人不得无故拒收处理结果，不允许采取过激行为，否则视为放弃申诉。</w:t>
      </w:r>
    </w:p>
    <w:p w:rsidR="00F01006" w:rsidRDefault="00D42733">
      <w:pPr>
        <w:snapToGrid w:val="0"/>
        <w:spacing w:line="560" w:lineRule="exact"/>
        <w:ind w:firstLineChars="200" w:firstLine="600"/>
        <w:rPr>
          <w:rFonts w:ascii="华文楷体" w:eastAsia="华文楷体" w:hAnsi="华文楷体" w:cs="华文楷体"/>
          <w:sz w:val="30"/>
          <w:szCs w:val="30"/>
        </w:rPr>
      </w:pPr>
      <w:r>
        <w:rPr>
          <w:rFonts w:ascii="华文楷体" w:eastAsia="华文楷体" w:hAnsi="华文楷体" w:cs="华文楷体" w:hint="eastAsia"/>
          <w:sz w:val="30"/>
          <w:szCs w:val="30"/>
        </w:rPr>
        <w:t>（二）仲裁</w:t>
      </w:r>
    </w:p>
    <w:p w:rsidR="00F01006" w:rsidRDefault="00D42733">
      <w:pPr>
        <w:snapToGrid w:val="0"/>
        <w:spacing w:line="54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F01006" w:rsidRDefault="00F01006">
      <w:pPr>
        <w:snapToGrid w:val="0"/>
        <w:spacing w:line="560" w:lineRule="exact"/>
        <w:ind w:firstLineChars="200" w:firstLine="600"/>
        <w:rPr>
          <w:rFonts w:ascii="仿宋_GB2312" w:eastAsia="仿宋_GB2312" w:hAnsi="仿宋_GB2312" w:cs="仿宋_GB2312"/>
          <w:color w:val="000000"/>
          <w:kern w:val="0"/>
          <w:sz w:val="30"/>
          <w:szCs w:val="30"/>
        </w:rPr>
      </w:pPr>
    </w:p>
    <w:p w:rsidR="00F01006" w:rsidRDefault="00D42733">
      <w:pPr>
        <w:snapToGrid w:val="0"/>
        <w:spacing w:line="54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十二、大赛违规处理规定</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1.竞赛期间违规透漏选手或其单位任何信息者。</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2.在竞赛现场内与他人（队）交头接耳，或有偷看、暗示等作弊行为者。</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3.竞赛期间使用通讯工具与他人联系者。</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4.裁判根据大赛要求宣布竞赛结束后，仍强行作答或操作者。</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5.不服从裁判员的裁决，扰乱竞赛秩序，影响竞赛进程，情</w:t>
      </w:r>
      <w:r>
        <w:rPr>
          <w:rFonts w:ascii="仿宋_GB2312" w:eastAsia="仿宋_GB2312" w:hAnsi="仿宋_GB2312" w:cs="仿宋_GB2312" w:hint="eastAsia"/>
          <w:kern w:val="0"/>
          <w:sz w:val="30"/>
          <w:szCs w:val="30"/>
        </w:rPr>
        <w:lastRenderedPageBreak/>
        <w:t>节恶劣者。</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F01006" w:rsidRDefault="00D4273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F01006" w:rsidRDefault="00D42733">
      <w:pPr>
        <w:snapToGrid w:val="0"/>
        <w:spacing w:line="560" w:lineRule="exact"/>
        <w:rPr>
          <w:rFonts w:ascii="仿宋_GB2312" w:eastAsia="仿宋_GB2312" w:hAnsi="仿宋_GB2312" w:cs="仿宋_GB2312"/>
          <w:b/>
          <w:kern w:val="0"/>
          <w:sz w:val="30"/>
          <w:szCs w:val="30"/>
        </w:rPr>
      </w:pPr>
      <w:bookmarkStart w:id="1" w:name="_GoBack"/>
      <w:bookmarkEnd w:id="1"/>
      <w:r>
        <w:rPr>
          <w:rFonts w:ascii="仿宋_GB2312" w:eastAsia="仿宋_GB2312" w:hAnsi="仿宋_GB2312" w:cs="仿宋_GB2312" w:hint="eastAsia"/>
          <w:b/>
          <w:kern w:val="0"/>
          <w:sz w:val="30"/>
          <w:szCs w:val="30"/>
        </w:rPr>
        <w:lastRenderedPageBreak/>
        <w:t>附：样题</w:t>
      </w:r>
    </w:p>
    <w:p w:rsidR="00F01006" w:rsidRDefault="00D42733">
      <w:pPr>
        <w:widowControl/>
        <w:jc w:val="center"/>
        <w:rPr>
          <w:rFonts w:ascii="黑体" w:eastAsia="黑体" w:hAnsi="黑体" w:cs="仿宋_GB2312"/>
          <w:b/>
          <w:sz w:val="36"/>
          <w:szCs w:val="36"/>
        </w:rPr>
      </w:pPr>
      <w:r>
        <w:rPr>
          <w:rFonts w:ascii="黑体" w:eastAsia="黑体" w:hAnsi="黑体" w:cs="仿宋_GB2312" w:hint="eastAsia"/>
          <w:b/>
          <w:color w:val="000000"/>
          <w:sz w:val="36"/>
          <w:szCs w:val="36"/>
        </w:rPr>
        <w:t>2019年度机械行业职业教育技能大赛</w:t>
      </w:r>
    </w:p>
    <w:p w:rsidR="00F01006" w:rsidRDefault="009E3F0C">
      <w:pPr>
        <w:pStyle w:val="a6"/>
        <w:adjustRightInd w:val="0"/>
        <w:snapToGrid w:val="0"/>
        <w:outlineLvl w:val="0"/>
        <w:rPr>
          <w:rFonts w:ascii="黑体" w:hAnsi="黑体" w:cs="仿宋_GB2312"/>
          <w:b/>
          <w:sz w:val="36"/>
          <w:szCs w:val="36"/>
        </w:rPr>
      </w:pPr>
      <w:r>
        <w:rPr>
          <w:rFonts w:ascii="黑体" w:hAnsi="黑体" w:cs="仿宋_GB2312" w:hint="eastAsia"/>
          <w:b/>
          <w:sz w:val="36"/>
          <w:szCs w:val="36"/>
        </w:rPr>
        <w:t>“越疆杯”</w:t>
      </w:r>
      <w:r w:rsidR="00D42733">
        <w:rPr>
          <w:rFonts w:ascii="黑体" w:hAnsi="黑体" w:cs="仿宋_GB2312" w:hint="eastAsia"/>
          <w:b/>
          <w:sz w:val="36"/>
          <w:szCs w:val="36"/>
        </w:rPr>
        <w:t>人工智能与机器人技术应用赛项</w:t>
      </w:r>
    </w:p>
    <w:p w:rsidR="00F01006" w:rsidRDefault="00D42733">
      <w:pPr>
        <w:pStyle w:val="a6"/>
        <w:adjustRightInd w:val="0"/>
        <w:snapToGrid w:val="0"/>
        <w:outlineLvl w:val="0"/>
      </w:pPr>
      <w:r>
        <w:rPr>
          <w:rFonts w:hint="eastAsia"/>
        </w:rPr>
        <w:t>竞赛任务书（样卷）</w:t>
      </w:r>
    </w:p>
    <w:p w:rsidR="00F01006" w:rsidRDefault="00D42733">
      <w:pPr>
        <w:rPr>
          <w:sz w:val="28"/>
          <w:szCs w:val="28"/>
        </w:rPr>
      </w:pPr>
      <w:r>
        <w:rPr>
          <w:rFonts w:hint="eastAsia"/>
          <w:sz w:val="28"/>
          <w:szCs w:val="28"/>
        </w:rPr>
        <w:t>选手须知：</w:t>
      </w:r>
    </w:p>
    <w:p w:rsidR="00F01006" w:rsidRDefault="00D42733">
      <w:pPr>
        <w:ind w:firstLine="480"/>
        <w:rPr>
          <w:sz w:val="28"/>
          <w:szCs w:val="28"/>
        </w:rPr>
      </w:pPr>
      <w:r>
        <w:rPr>
          <w:sz w:val="28"/>
          <w:szCs w:val="28"/>
        </w:rPr>
        <w:t>1.</w:t>
      </w:r>
      <w:r>
        <w:rPr>
          <w:rFonts w:hint="eastAsia"/>
          <w:sz w:val="28"/>
          <w:szCs w:val="28"/>
        </w:rPr>
        <w:t>任务书共</w:t>
      </w:r>
      <w:r>
        <w:rPr>
          <w:sz w:val="28"/>
          <w:szCs w:val="28"/>
          <w:u w:val="single"/>
        </w:rPr>
        <w:t>9</w:t>
      </w:r>
      <w:r>
        <w:rPr>
          <w:rFonts w:hint="eastAsia"/>
          <w:sz w:val="28"/>
          <w:szCs w:val="28"/>
        </w:rPr>
        <w:t>页，如出现任务书缺页、字迹不清等问题，请及时向裁判示意，并进行任务书的更换。</w:t>
      </w:r>
    </w:p>
    <w:p w:rsidR="00F01006" w:rsidRDefault="00D42733">
      <w:pPr>
        <w:ind w:firstLine="480"/>
        <w:rPr>
          <w:sz w:val="28"/>
          <w:szCs w:val="28"/>
        </w:rPr>
      </w:pPr>
      <w:r>
        <w:rPr>
          <w:sz w:val="28"/>
          <w:szCs w:val="28"/>
        </w:rPr>
        <w:t>2.</w:t>
      </w:r>
      <w:r>
        <w:rPr>
          <w:rFonts w:hint="eastAsia"/>
          <w:sz w:val="28"/>
          <w:szCs w:val="28"/>
        </w:rPr>
        <w:t>参赛队应在</w:t>
      </w:r>
      <w:r>
        <w:rPr>
          <w:b/>
          <w:sz w:val="28"/>
          <w:szCs w:val="28"/>
        </w:rPr>
        <w:t>4</w:t>
      </w:r>
      <w:r>
        <w:rPr>
          <w:rFonts w:hint="eastAsia"/>
          <w:b/>
          <w:sz w:val="28"/>
          <w:szCs w:val="28"/>
        </w:rPr>
        <w:t>小时</w:t>
      </w:r>
      <w:r>
        <w:rPr>
          <w:rFonts w:hint="eastAsia"/>
          <w:sz w:val="28"/>
          <w:szCs w:val="28"/>
        </w:rPr>
        <w:t>内完成任务书规定内容。</w:t>
      </w:r>
    </w:p>
    <w:p w:rsidR="00F01006" w:rsidRDefault="00D42733">
      <w:pPr>
        <w:ind w:firstLine="480"/>
        <w:rPr>
          <w:sz w:val="28"/>
          <w:szCs w:val="28"/>
        </w:rPr>
      </w:pPr>
      <w:r>
        <w:rPr>
          <w:sz w:val="28"/>
          <w:szCs w:val="28"/>
        </w:rPr>
        <w:t>3.</w:t>
      </w:r>
      <w:r>
        <w:rPr>
          <w:rFonts w:hint="eastAsia"/>
          <w:sz w:val="28"/>
          <w:szCs w:val="28"/>
        </w:rPr>
        <w:t>竞赛任务完成过程配有</w:t>
      </w:r>
      <w:r>
        <w:rPr>
          <w:sz w:val="28"/>
          <w:szCs w:val="28"/>
        </w:rPr>
        <w:t>1</w:t>
      </w:r>
      <w:r>
        <w:rPr>
          <w:rFonts w:hint="eastAsia"/>
          <w:sz w:val="28"/>
          <w:szCs w:val="28"/>
        </w:rPr>
        <w:t>台计算机，参考资料（机器人操作手册、视觉人脸识别模块手册、语音模块手册、</w:t>
      </w:r>
      <w:r>
        <w:rPr>
          <w:sz w:val="28"/>
          <w:szCs w:val="28"/>
        </w:rPr>
        <w:t>PLC</w:t>
      </w:r>
      <w:r>
        <w:rPr>
          <w:rFonts w:hint="eastAsia"/>
          <w:sz w:val="28"/>
          <w:szCs w:val="28"/>
        </w:rPr>
        <w:t>控制器操作手册、各类传感器手册）放置在“</w:t>
      </w:r>
      <w:r>
        <w:rPr>
          <w:b/>
          <w:sz w:val="28"/>
          <w:szCs w:val="28"/>
        </w:rPr>
        <w:t>D:\</w:t>
      </w:r>
      <w:r>
        <w:rPr>
          <w:rFonts w:hint="eastAsia"/>
          <w:b/>
          <w:sz w:val="28"/>
          <w:szCs w:val="28"/>
        </w:rPr>
        <w:t>参考资料</w:t>
      </w:r>
      <w:r>
        <w:rPr>
          <w:rFonts w:hint="eastAsia"/>
          <w:sz w:val="28"/>
          <w:szCs w:val="28"/>
        </w:rPr>
        <w:t>”文件夹中。选手在竞赛过程中利用计算机创建的软件程序文件必须存储到“</w:t>
      </w:r>
      <w:r>
        <w:rPr>
          <w:b/>
          <w:sz w:val="28"/>
          <w:szCs w:val="28"/>
        </w:rPr>
        <w:t>D:\</w:t>
      </w:r>
      <w:r>
        <w:rPr>
          <w:rFonts w:hint="eastAsia"/>
          <w:b/>
          <w:sz w:val="28"/>
          <w:szCs w:val="28"/>
        </w:rPr>
        <w:t>技能竞赛</w:t>
      </w:r>
      <w:r>
        <w:rPr>
          <w:rFonts w:hint="eastAsia"/>
          <w:sz w:val="28"/>
          <w:szCs w:val="28"/>
        </w:rPr>
        <w:t>”文件夹中，未存储到指定位置的运行记录或程序文件不作为竞赛成果予以评分。计算机编辑文件实时存盘，建议</w:t>
      </w:r>
      <w:r>
        <w:rPr>
          <w:sz w:val="28"/>
          <w:szCs w:val="28"/>
        </w:rPr>
        <w:t>10-15</w:t>
      </w:r>
      <w:r>
        <w:rPr>
          <w:rFonts w:hint="eastAsia"/>
          <w:sz w:val="28"/>
          <w:szCs w:val="28"/>
        </w:rPr>
        <w:t>分钟存盘一次，客观原因断电情况下，酌情补时不超过十五分钟。</w:t>
      </w:r>
    </w:p>
    <w:p w:rsidR="00F01006" w:rsidRDefault="00D42733">
      <w:pPr>
        <w:ind w:firstLine="480"/>
        <w:rPr>
          <w:sz w:val="28"/>
          <w:szCs w:val="28"/>
        </w:rPr>
      </w:pPr>
      <w:r>
        <w:rPr>
          <w:sz w:val="28"/>
          <w:szCs w:val="28"/>
        </w:rPr>
        <w:t>4.</w:t>
      </w:r>
      <w:r>
        <w:rPr>
          <w:rFonts w:hint="eastAsia"/>
          <w:sz w:val="28"/>
          <w:szCs w:val="28"/>
        </w:rPr>
        <w:t>任务书中只得填写竞赛相关信息，不得出现学校、姓名等与身份有关的信息或与竞赛过程无关的内容，否则成绩无效。</w:t>
      </w:r>
    </w:p>
    <w:p w:rsidR="00F01006" w:rsidRDefault="00D42733">
      <w:pPr>
        <w:ind w:firstLine="480"/>
        <w:rPr>
          <w:sz w:val="28"/>
          <w:szCs w:val="28"/>
        </w:rPr>
      </w:pPr>
      <w:r>
        <w:rPr>
          <w:sz w:val="28"/>
          <w:szCs w:val="28"/>
        </w:rPr>
        <w:t>5.</w:t>
      </w:r>
      <w:r>
        <w:rPr>
          <w:rFonts w:hint="eastAsia"/>
          <w:sz w:val="28"/>
          <w:szCs w:val="28"/>
        </w:rPr>
        <w:t>由于参赛选手人为原因导致竞赛设备损坏，以致无法正常继续比赛，将取消参赛队竞赛资格。</w:t>
      </w:r>
    </w:p>
    <w:p w:rsidR="00F01006" w:rsidRDefault="00D42733">
      <w:pPr>
        <w:contextualSpacing/>
        <w:rPr>
          <w:rFonts w:ascii="仿宋_GB2312" w:eastAsia="仿宋_GB2312"/>
          <w:b/>
          <w:sz w:val="30"/>
          <w:szCs w:val="30"/>
        </w:rPr>
      </w:pPr>
      <w:r>
        <w:rPr>
          <w:rFonts w:hint="eastAsia"/>
          <w:sz w:val="28"/>
          <w:szCs w:val="28"/>
        </w:rPr>
        <w:t>竞赛场次：第</w:t>
      </w:r>
      <w:r w:rsidR="009E3F0C">
        <w:rPr>
          <w:rFonts w:hint="eastAsia"/>
          <w:sz w:val="28"/>
          <w:szCs w:val="28"/>
        </w:rPr>
        <w:t xml:space="preserve">   </w:t>
      </w:r>
      <w:r>
        <w:rPr>
          <w:rFonts w:hint="eastAsia"/>
          <w:sz w:val="28"/>
          <w:szCs w:val="28"/>
        </w:rPr>
        <w:t>场</w:t>
      </w:r>
      <w:r w:rsidR="009E3F0C">
        <w:rPr>
          <w:rFonts w:hint="eastAsia"/>
          <w:sz w:val="28"/>
          <w:szCs w:val="28"/>
        </w:rPr>
        <w:t xml:space="preserve">           </w:t>
      </w:r>
      <w:r>
        <w:rPr>
          <w:rFonts w:hint="eastAsia"/>
          <w:sz w:val="28"/>
          <w:szCs w:val="28"/>
        </w:rPr>
        <w:t>赛位号：第</w:t>
      </w:r>
      <w:r w:rsidR="009E3F0C">
        <w:rPr>
          <w:rFonts w:hint="eastAsia"/>
          <w:sz w:val="28"/>
          <w:szCs w:val="28"/>
        </w:rPr>
        <w:t xml:space="preserve">   </w:t>
      </w:r>
      <w:r>
        <w:rPr>
          <w:rFonts w:hint="eastAsia"/>
          <w:sz w:val="28"/>
          <w:szCs w:val="28"/>
        </w:rPr>
        <w:t>号</w:t>
      </w:r>
      <w:r>
        <w:rPr>
          <w:rFonts w:ascii="宋体" w:hAnsi="宋体"/>
          <w:sz w:val="24"/>
        </w:rPr>
        <w:br w:type="page"/>
      </w:r>
    </w:p>
    <w:p w:rsidR="00F01006" w:rsidRDefault="00D42733">
      <w:pPr>
        <w:adjustRightInd w:val="0"/>
        <w:ind w:firstLineChars="200" w:firstLine="600"/>
        <w:contextualSpacing/>
        <w:rPr>
          <w:rFonts w:ascii="仿宋_GB2312" w:eastAsia="仿宋_GB2312" w:hAnsi="宋体" w:cs="宋体"/>
          <w:color w:val="000000" w:themeColor="text1"/>
          <w:sz w:val="30"/>
          <w:szCs w:val="30"/>
        </w:rPr>
      </w:pPr>
      <w:r>
        <w:rPr>
          <w:rFonts w:ascii="仿宋_GB2312" w:eastAsia="仿宋_GB2312" w:hAnsi="宋体" w:cs="宋体" w:hint="eastAsia"/>
          <w:color w:val="000000" w:themeColor="text1"/>
          <w:sz w:val="30"/>
          <w:szCs w:val="30"/>
        </w:rPr>
        <w:lastRenderedPageBreak/>
        <w:t>本赛题包括软硬件设备装调和任务功能验证部分。要求参赛选手在规定时间内组装、调试好人工智能平台、语音识别模块、人脸识别模块、智能机械臂、智能视觉、传送带及相关设备；根据任务需求，完成人工智能相关模型训练及机器人端的应用程序编写和测试，使之能够完成垃圾分拣场景中的的复杂任务。</w:t>
      </w:r>
    </w:p>
    <w:p w:rsidR="00F01006" w:rsidRDefault="00D42733">
      <w:pPr>
        <w:adjustRightInd w:val="0"/>
        <w:ind w:firstLineChars="200" w:firstLine="600"/>
        <w:contextualSpacing/>
        <w:rPr>
          <w:rFonts w:ascii="仿宋_GB2312" w:eastAsia="仿宋_GB2312" w:hAnsi="宋体" w:cs="宋体"/>
          <w:color w:val="000000" w:themeColor="text1"/>
          <w:sz w:val="30"/>
          <w:szCs w:val="30"/>
        </w:rPr>
      </w:pPr>
      <w:r>
        <w:rPr>
          <w:rFonts w:ascii="仿宋_GB2312" w:eastAsia="仿宋_GB2312" w:hAnsi="宋体" w:cs="宋体" w:hint="eastAsia"/>
          <w:color w:val="000000" w:themeColor="text1"/>
          <w:sz w:val="30"/>
          <w:szCs w:val="30"/>
        </w:rPr>
        <w:t>竞赛模拟智能垃圾分拣系统，参赛队伍需要编写智能程序控制完成人脸认证、语音控制、PC与PLC系统通讯、垃圾物料分类识别、分拣物料的搬运、传送与卸载，在规定的时间内以完成任务计算运行效率。</w:t>
      </w:r>
    </w:p>
    <w:p w:rsidR="00F01006" w:rsidRDefault="00D42733">
      <w:pPr>
        <w:adjustRightInd w:val="0"/>
        <w:ind w:firstLineChars="200" w:firstLine="600"/>
        <w:contextualSpacing/>
        <w:rPr>
          <w:rFonts w:ascii="仿宋_GB2312" w:eastAsia="仿宋_GB2312" w:hAnsi="宋体" w:cs="宋体"/>
          <w:color w:val="000000" w:themeColor="text1"/>
          <w:sz w:val="30"/>
          <w:szCs w:val="30"/>
        </w:rPr>
      </w:pPr>
      <w:r>
        <w:rPr>
          <w:rFonts w:ascii="仿宋_GB2312" w:eastAsia="仿宋_GB2312" w:hAnsi="宋体" w:cs="宋体" w:hint="eastAsia"/>
          <w:noProof/>
          <w:color w:val="000000" w:themeColor="text1"/>
          <w:sz w:val="30"/>
          <w:szCs w:val="30"/>
        </w:rPr>
        <w:drawing>
          <wp:inline distT="0" distB="0" distL="114300" distR="114300">
            <wp:extent cx="2153920" cy="3074035"/>
            <wp:effectExtent l="0" t="0" r="10160" b="4445"/>
            <wp:docPr id="21" name="图片 21" descr="M1信息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M1信息流"/>
                    <pic:cNvPicPr>
                      <a:picLocks noChangeAspect="1"/>
                    </pic:cNvPicPr>
                  </pic:nvPicPr>
                  <pic:blipFill>
                    <a:blip r:embed="rId10"/>
                    <a:srcRect l="68786" t="8735" b="12075"/>
                    <a:stretch>
                      <a:fillRect/>
                    </a:stretch>
                  </pic:blipFill>
                  <pic:spPr>
                    <a:xfrm>
                      <a:off x="0" y="0"/>
                      <a:ext cx="2153920" cy="3074035"/>
                    </a:xfrm>
                    <a:prstGeom prst="rect">
                      <a:avLst/>
                    </a:prstGeom>
                  </pic:spPr>
                </pic:pic>
              </a:graphicData>
            </a:graphic>
          </wp:inline>
        </w:drawing>
      </w:r>
      <w:r>
        <w:rPr>
          <w:rFonts w:ascii="仿宋_GB2312" w:eastAsia="仿宋_GB2312" w:hAnsi="宋体" w:cs="宋体" w:hint="eastAsia"/>
          <w:noProof/>
          <w:color w:val="000000" w:themeColor="text1"/>
          <w:sz w:val="30"/>
          <w:szCs w:val="30"/>
        </w:rPr>
        <w:drawing>
          <wp:inline distT="0" distB="0" distL="114300" distR="114300">
            <wp:extent cx="2219960" cy="2702560"/>
            <wp:effectExtent l="0" t="0" r="5080" b="0"/>
            <wp:docPr id="20" name="图片 20" descr="机械台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机械台子"/>
                    <pic:cNvPicPr>
                      <a:picLocks noChangeAspect="1"/>
                    </pic:cNvPicPr>
                  </pic:nvPicPr>
                  <pic:blipFill>
                    <a:blip r:embed="rId11"/>
                    <a:srcRect l="26763" r="27052"/>
                    <a:stretch>
                      <a:fillRect/>
                    </a:stretch>
                  </pic:blipFill>
                  <pic:spPr>
                    <a:xfrm>
                      <a:off x="0" y="0"/>
                      <a:ext cx="2219960" cy="2702560"/>
                    </a:xfrm>
                    <a:prstGeom prst="rect">
                      <a:avLst/>
                    </a:prstGeom>
                  </pic:spPr>
                </pic:pic>
              </a:graphicData>
            </a:graphic>
          </wp:inline>
        </w:drawing>
      </w:r>
    </w:p>
    <w:p w:rsidR="00F01006" w:rsidRDefault="00D42733">
      <w:pPr>
        <w:jc w:val="center"/>
        <w:rPr>
          <w:rFonts w:ascii="仿宋" w:eastAsia="仿宋" w:hAnsi="仿宋"/>
          <w:b/>
          <w:color w:val="000000" w:themeColor="text1"/>
          <w:szCs w:val="21"/>
        </w:rPr>
      </w:pPr>
      <w:r>
        <w:rPr>
          <w:rFonts w:ascii="仿宋" w:eastAsia="仿宋" w:hAnsi="仿宋" w:hint="eastAsia"/>
          <w:b/>
          <w:color w:val="000000" w:themeColor="text1"/>
          <w:szCs w:val="21"/>
        </w:rPr>
        <w:t>比赛平台及信息流程考图</w:t>
      </w:r>
    </w:p>
    <w:p w:rsidR="00F01006" w:rsidRDefault="00D42733">
      <w:pPr>
        <w:rPr>
          <w:rFonts w:ascii="仿宋" w:eastAsia="仿宋" w:hAnsi="仿宋"/>
          <w:color w:val="000000" w:themeColor="text1"/>
          <w:sz w:val="28"/>
          <w:szCs w:val="28"/>
        </w:rPr>
      </w:pPr>
      <w:r>
        <w:rPr>
          <w:rFonts w:ascii="仿宋" w:eastAsia="仿宋" w:hAnsi="仿宋" w:hint="eastAsia"/>
          <w:b/>
          <w:color w:val="000000" w:themeColor="text1"/>
          <w:sz w:val="28"/>
          <w:szCs w:val="28"/>
        </w:rPr>
        <w:t>垃圾物料</w:t>
      </w:r>
      <w:r>
        <w:rPr>
          <w:rFonts w:ascii="仿宋" w:eastAsia="仿宋" w:hAnsi="仿宋"/>
          <w:b/>
          <w:color w:val="000000" w:themeColor="text1"/>
          <w:sz w:val="28"/>
          <w:szCs w:val="28"/>
        </w:rPr>
        <w:t>规格：</w:t>
      </w:r>
      <w:r>
        <w:rPr>
          <w:rFonts w:ascii="仿宋" w:eastAsia="仿宋" w:hAnsi="仿宋" w:hint="eastAsia"/>
          <w:color w:val="000000" w:themeColor="text1"/>
          <w:sz w:val="28"/>
          <w:szCs w:val="28"/>
        </w:rPr>
        <w:t>垃圾</w:t>
      </w:r>
      <w:r>
        <w:rPr>
          <w:rFonts w:ascii="仿宋" w:eastAsia="仿宋" w:hAnsi="仿宋"/>
          <w:color w:val="000000" w:themeColor="text1"/>
          <w:sz w:val="28"/>
          <w:szCs w:val="28"/>
        </w:rPr>
        <w:t>物料的大小规格为25mm×25mm×25mm，</w:t>
      </w:r>
      <w:r>
        <w:rPr>
          <w:rFonts w:ascii="仿宋" w:eastAsia="仿宋" w:hAnsi="仿宋" w:hint="eastAsia"/>
          <w:color w:val="000000" w:themeColor="text1"/>
          <w:sz w:val="28"/>
          <w:szCs w:val="28"/>
        </w:rPr>
        <w:t>有常见的香蕉皮、废弃的饮料瓶、纸盒、塑料碗、电池等，比赛中随机出现。需要分拣出不同类型的垃圾物块，放置到垃圾物料区</w:t>
      </w:r>
      <w:r>
        <w:rPr>
          <w:rFonts w:ascii="仿宋" w:eastAsia="仿宋" w:hAnsi="仿宋"/>
          <w:color w:val="000000" w:themeColor="text1"/>
          <w:sz w:val="28"/>
          <w:szCs w:val="28"/>
        </w:rPr>
        <w:t>。</w:t>
      </w:r>
      <w:r>
        <w:rPr>
          <w:rFonts w:ascii="Times New Roman" w:eastAsia="仿宋" w:hAnsi="Times New Roman" w:hint="eastAsia"/>
          <w:color w:val="000000" w:themeColor="text1"/>
          <w:sz w:val="28"/>
          <w:szCs w:val="28"/>
        </w:rPr>
        <w:t>具体摆放位置及抓取顺序由赛前抽取任务卡确定。</w:t>
      </w:r>
    </w:p>
    <w:p w:rsidR="00F01006" w:rsidRDefault="00D42733">
      <w:pPr>
        <w:jc w:val="center"/>
        <w:rPr>
          <w:rFonts w:eastAsiaTheme="minorEastAsia"/>
          <w:color w:val="000000" w:themeColor="text1"/>
        </w:rPr>
      </w:pPr>
      <w:r>
        <w:rPr>
          <w:noProof/>
          <w:color w:val="000000" w:themeColor="text1"/>
        </w:rPr>
        <w:lastRenderedPageBreak/>
        <w:drawing>
          <wp:inline distT="0" distB="0" distL="114300" distR="114300">
            <wp:extent cx="647700" cy="647700"/>
            <wp:effectExtent l="9525" t="9525" r="13335" b="13335"/>
            <wp:docPr id="23" name="图片 23"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39"/>
                    <pic:cNvPicPr>
                      <a:picLocks noChangeAspect="1"/>
                    </pic:cNvPicPr>
                  </pic:nvPicPr>
                  <pic:blipFill>
                    <a:blip r:embed="rId12"/>
                    <a:stretch>
                      <a:fillRect/>
                    </a:stretch>
                  </pic:blipFill>
                  <pic:spPr>
                    <a:xfrm flipH="1" flipV="1">
                      <a:off x="0" y="0"/>
                      <a:ext cx="647700" cy="647700"/>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659130" cy="659130"/>
            <wp:effectExtent l="9525" t="9525" r="17145" b="17145"/>
            <wp:docPr id="24" name="图片 24"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40"/>
                    <pic:cNvPicPr>
                      <a:picLocks noChangeAspect="1"/>
                    </pic:cNvPicPr>
                  </pic:nvPicPr>
                  <pic:blipFill>
                    <a:blip r:embed="rId13"/>
                    <a:stretch>
                      <a:fillRect/>
                    </a:stretch>
                  </pic:blipFill>
                  <pic:spPr>
                    <a:xfrm>
                      <a:off x="0" y="0"/>
                      <a:ext cx="659130" cy="659130"/>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663575" cy="663575"/>
            <wp:effectExtent l="9525" t="9525" r="12700" b="12700"/>
            <wp:docPr id="25" name="图片 25"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8"/>
                    <pic:cNvPicPr>
                      <a:picLocks noChangeAspect="1"/>
                    </pic:cNvPicPr>
                  </pic:nvPicPr>
                  <pic:blipFill>
                    <a:blip r:embed="rId14"/>
                    <a:stretch>
                      <a:fillRect/>
                    </a:stretch>
                  </pic:blipFill>
                  <pic:spPr>
                    <a:xfrm>
                      <a:off x="0" y="0"/>
                      <a:ext cx="663575" cy="663575"/>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1062355" cy="656590"/>
            <wp:effectExtent l="9525" t="0" r="10160" b="19685"/>
            <wp:docPr id="26" name="图片 26" descr="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43"/>
                    <pic:cNvPicPr>
                      <a:picLocks noChangeAspect="1"/>
                    </pic:cNvPicPr>
                  </pic:nvPicPr>
                  <pic:blipFill>
                    <a:blip r:embed="rId15"/>
                    <a:stretch>
                      <a:fillRect/>
                    </a:stretch>
                  </pic:blipFill>
                  <pic:spPr>
                    <a:xfrm>
                      <a:off x="0" y="0"/>
                      <a:ext cx="1062355" cy="656590"/>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985520" cy="654050"/>
            <wp:effectExtent l="9525" t="9525" r="10795" b="22225"/>
            <wp:docPr id="27" name="图片 27"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3"/>
                    <pic:cNvPicPr>
                      <a:picLocks noChangeAspect="1"/>
                    </pic:cNvPicPr>
                  </pic:nvPicPr>
                  <pic:blipFill>
                    <a:blip r:embed="rId16"/>
                    <a:stretch>
                      <a:fillRect/>
                    </a:stretch>
                  </pic:blipFill>
                  <pic:spPr>
                    <a:xfrm>
                      <a:off x="0" y="0"/>
                      <a:ext cx="985520" cy="654050"/>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889635" cy="667385"/>
            <wp:effectExtent l="9525" t="9525" r="15240" b="24130"/>
            <wp:docPr id="29" name="图片 29" descr="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8(1)"/>
                    <pic:cNvPicPr>
                      <a:picLocks noChangeAspect="1"/>
                    </pic:cNvPicPr>
                  </pic:nvPicPr>
                  <pic:blipFill>
                    <a:blip r:embed="rId17"/>
                    <a:stretch>
                      <a:fillRect/>
                    </a:stretch>
                  </pic:blipFill>
                  <pic:spPr>
                    <a:xfrm>
                      <a:off x="0" y="0"/>
                      <a:ext cx="889635" cy="667385"/>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680720" cy="658495"/>
            <wp:effectExtent l="9525" t="0" r="10795" b="17780"/>
            <wp:docPr id="32" name="图片 32" descr="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42"/>
                    <pic:cNvPicPr>
                      <a:picLocks noChangeAspect="1"/>
                    </pic:cNvPicPr>
                  </pic:nvPicPr>
                  <pic:blipFill>
                    <a:blip r:embed="rId18"/>
                    <a:stretch>
                      <a:fillRect/>
                    </a:stretch>
                  </pic:blipFill>
                  <pic:spPr>
                    <a:xfrm>
                      <a:off x="0" y="0"/>
                      <a:ext cx="680720" cy="658495"/>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998855" cy="662940"/>
            <wp:effectExtent l="9525" t="9525" r="12700" b="13335"/>
            <wp:docPr id="65" name="图片 6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5"/>
                    <pic:cNvPicPr>
                      <a:picLocks noChangeAspect="1"/>
                    </pic:cNvPicPr>
                  </pic:nvPicPr>
                  <pic:blipFill>
                    <a:blip r:embed="rId19"/>
                    <a:stretch>
                      <a:fillRect/>
                    </a:stretch>
                  </pic:blipFill>
                  <pic:spPr>
                    <a:xfrm>
                      <a:off x="0" y="0"/>
                      <a:ext cx="998855" cy="662940"/>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994410" cy="660400"/>
            <wp:effectExtent l="9525" t="9525" r="17145" b="15875"/>
            <wp:docPr id="30" name="图片 30" descr="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37"/>
                    <pic:cNvPicPr>
                      <a:picLocks noChangeAspect="1"/>
                    </pic:cNvPicPr>
                  </pic:nvPicPr>
                  <pic:blipFill>
                    <a:blip r:embed="rId20"/>
                    <a:stretch>
                      <a:fillRect/>
                    </a:stretch>
                  </pic:blipFill>
                  <pic:spPr>
                    <a:xfrm>
                      <a:off x="0" y="0"/>
                      <a:ext cx="994410" cy="660400"/>
                    </a:xfrm>
                    <a:prstGeom prst="rect">
                      <a:avLst/>
                    </a:prstGeom>
                    <a:ln>
                      <a:solidFill>
                        <a:schemeClr val="tx1"/>
                      </a:solidFill>
                    </a:ln>
                  </pic:spPr>
                </pic:pic>
              </a:graphicData>
            </a:graphic>
          </wp:inline>
        </w:drawing>
      </w:r>
      <w:r>
        <w:rPr>
          <w:rFonts w:ascii="仿宋_GB2312" w:eastAsia="仿宋_GB2312" w:hAnsi="Arial Narrow" w:hint="eastAsia"/>
          <w:noProof/>
          <w:color w:val="000000" w:themeColor="text1"/>
          <w:szCs w:val="21"/>
        </w:rPr>
        <w:drawing>
          <wp:inline distT="0" distB="0" distL="114300" distR="114300">
            <wp:extent cx="697865" cy="723265"/>
            <wp:effectExtent l="0" t="0" r="3175" b="8255"/>
            <wp:docPr id="4" name="图片 4" descr="微信图片_20190811114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190811114218"/>
                    <pic:cNvPicPr>
                      <a:picLocks noChangeAspect="1"/>
                    </pic:cNvPicPr>
                  </pic:nvPicPr>
                  <pic:blipFill>
                    <a:blip r:embed="rId21"/>
                    <a:stretch>
                      <a:fillRect/>
                    </a:stretch>
                  </pic:blipFill>
                  <pic:spPr>
                    <a:xfrm>
                      <a:off x="0" y="0"/>
                      <a:ext cx="697865" cy="723265"/>
                    </a:xfrm>
                    <a:prstGeom prst="rect">
                      <a:avLst/>
                    </a:prstGeom>
                  </pic:spPr>
                </pic:pic>
              </a:graphicData>
            </a:graphic>
          </wp:inline>
        </w:drawing>
      </w:r>
    </w:p>
    <w:p w:rsidR="00F01006" w:rsidRDefault="00D42733">
      <w:pPr>
        <w:jc w:val="center"/>
        <w:rPr>
          <w:rFonts w:ascii="仿宋" w:eastAsia="仿宋" w:hAnsi="仿宋"/>
          <w:b/>
          <w:color w:val="000000" w:themeColor="text1"/>
          <w:szCs w:val="21"/>
        </w:rPr>
      </w:pPr>
      <w:r>
        <w:rPr>
          <w:rFonts w:ascii="仿宋" w:eastAsia="仿宋" w:hAnsi="仿宋" w:hint="eastAsia"/>
          <w:b/>
          <w:color w:val="000000" w:themeColor="text1"/>
          <w:szCs w:val="21"/>
        </w:rPr>
        <w:t>垃圾物料示意图</w:t>
      </w:r>
    </w:p>
    <w:p w:rsidR="00F01006" w:rsidRDefault="00F01006">
      <w:pPr>
        <w:jc w:val="center"/>
        <w:rPr>
          <w:rFonts w:ascii="仿宋" w:eastAsia="仿宋" w:hAnsi="仿宋"/>
          <w:b/>
          <w:color w:val="000000" w:themeColor="text1"/>
          <w:szCs w:val="21"/>
        </w:rPr>
      </w:pPr>
    </w:p>
    <w:p w:rsidR="00F01006" w:rsidRDefault="00D42733">
      <w:pPr>
        <w:adjustRightInd w:val="0"/>
        <w:contextualSpacing/>
        <w:jc w:val="left"/>
        <w:outlineLvl w:val="0"/>
        <w:rPr>
          <w:rFonts w:ascii="仿宋_GB2312" w:eastAsia="仿宋_GB2312" w:hAnsi="仿宋_GB2312" w:cs="仿宋_GB2312"/>
          <w:b/>
          <w:bCs/>
          <w:color w:val="000000" w:themeColor="text1"/>
          <w:kern w:val="0"/>
          <w:sz w:val="28"/>
          <w:szCs w:val="28"/>
        </w:rPr>
      </w:pPr>
      <w:r>
        <w:rPr>
          <w:rFonts w:ascii="仿宋_GB2312" w:eastAsia="仿宋_GB2312" w:hAnsi="仿宋_GB2312" w:cs="仿宋_GB2312" w:hint="eastAsia"/>
          <w:b/>
          <w:bCs/>
          <w:color w:val="000000" w:themeColor="text1"/>
          <w:kern w:val="0"/>
          <w:sz w:val="28"/>
          <w:szCs w:val="28"/>
          <w:lang w:val="de-DE" w:eastAsia="de-DE"/>
        </w:rPr>
        <w:t>任务一、人工智能</w:t>
      </w:r>
      <w:r>
        <w:rPr>
          <w:rFonts w:ascii="仿宋_GB2312" w:eastAsia="仿宋_GB2312" w:hAnsi="仿宋_GB2312" w:cs="仿宋_GB2312" w:hint="eastAsia"/>
          <w:b/>
          <w:bCs/>
          <w:color w:val="000000" w:themeColor="text1"/>
          <w:kern w:val="0"/>
          <w:sz w:val="28"/>
          <w:szCs w:val="28"/>
          <w:lang w:val="de-DE"/>
        </w:rPr>
        <w:t>与机器人</w:t>
      </w:r>
      <w:r>
        <w:rPr>
          <w:rFonts w:ascii="仿宋_GB2312" w:eastAsia="仿宋_GB2312" w:hAnsi="仿宋_GB2312" w:cs="仿宋_GB2312" w:hint="eastAsia"/>
          <w:b/>
          <w:bCs/>
          <w:color w:val="000000" w:themeColor="text1"/>
          <w:kern w:val="0"/>
          <w:sz w:val="28"/>
          <w:szCs w:val="28"/>
          <w:lang w:val="de-DE" w:eastAsia="de-DE"/>
        </w:rPr>
        <w:t>系统部署搭建</w:t>
      </w:r>
    </w:p>
    <w:p w:rsidR="00F01006" w:rsidRDefault="00D42733">
      <w:pPr>
        <w:ind w:firstLineChars="200" w:firstLine="560"/>
        <w:rPr>
          <w:rFonts w:ascii="仿宋" w:eastAsia="仿宋" w:hAnsi="仿宋"/>
          <w:color w:val="000000" w:themeColor="text1"/>
          <w:sz w:val="28"/>
          <w:szCs w:val="28"/>
          <w:lang w:val="de-DE"/>
        </w:rPr>
      </w:pPr>
      <w:r>
        <w:rPr>
          <w:rFonts w:ascii="仿宋" w:eastAsia="仿宋" w:hAnsi="仿宋" w:hint="eastAsia"/>
          <w:color w:val="000000" w:themeColor="text1"/>
          <w:sz w:val="28"/>
          <w:szCs w:val="28"/>
          <w:lang w:val="de-DE"/>
        </w:rPr>
        <w:t>按实现功能要求，进行TensorFlow环境配置，进行CNN模型训练，可视化模型分析，编写模型测试报告。</w:t>
      </w:r>
    </w:p>
    <w:p w:rsidR="00F01006" w:rsidRDefault="00D42733">
      <w:pPr>
        <w:ind w:firstLineChars="200" w:firstLine="560"/>
        <w:rPr>
          <w:rFonts w:ascii="仿宋" w:eastAsia="仿宋" w:hAnsi="仿宋"/>
          <w:color w:val="000000" w:themeColor="text1"/>
          <w:sz w:val="28"/>
          <w:szCs w:val="28"/>
          <w:lang w:val="de-DE"/>
        </w:rPr>
      </w:pPr>
      <w:r>
        <w:rPr>
          <w:rFonts w:ascii="仿宋" w:eastAsia="仿宋" w:hAnsi="仿宋" w:hint="eastAsia"/>
          <w:color w:val="000000" w:themeColor="text1"/>
          <w:sz w:val="28"/>
          <w:szCs w:val="28"/>
          <w:lang w:val="de-DE"/>
        </w:rPr>
        <w:t>按实现功能要求，进行</w:t>
      </w:r>
      <w:r>
        <w:rPr>
          <w:rFonts w:ascii="仿宋" w:eastAsia="仿宋" w:hAnsi="仿宋" w:hint="eastAsia"/>
          <w:color w:val="000000" w:themeColor="text1"/>
          <w:sz w:val="28"/>
          <w:szCs w:val="28"/>
        </w:rPr>
        <w:t>PLC系统与</w:t>
      </w:r>
      <w:r>
        <w:rPr>
          <w:rFonts w:ascii="仿宋" w:eastAsia="仿宋" w:hAnsi="仿宋" w:hint="eastAsia"/>
          <w:color w:val="000000" w:themeColor="text1"/>
          <w:sz w:val="28"/>
          <w:szCs w:val="28"/>
          <w:lang w:val="de-DE"/>
        </w:rPr>
        <w:t xml:space="preserve">视觉系统、智能机械臂的集成安装、分拣传送系统安装、系统网络搭建连接。包括安装上料机器人、分拣机器人的气动吸盘夹具，安装机器人的气路和气泵电路，连接机器人与光电位置检测传感器、工件颜色识别传感器、传送带电机线路等。 </w:t>
      </w:r>
    </w:p>
    <w:p w:rsidR="00F01006" w:rsidRDefault="00F01006">
      <w:pPr>
        <w:adjustRightInd w:val="0"/>
        <w:ind w:firstLineChars="200" w:firstLine="480"/>
        <w:contextualSpacing/>
        <w:jc w:val="left"/>
        <w:rPr>
          <w:rFonts w:ascii="仿宋_GB2312" w:eastAsia="仿宋_GB2312" w:hAnsi="仿宋_GB2312" w:cs="仿宋_GB2312"/>
          <w:color w:val="000000" w:themeColor="text1"/>
          <w:kern w:val="0"/>
          <w:sz w:val="24"/>
          <w:lang w:val="de-DE"/>
        </w:rPr>
      </w:pPr>
    </w:p>
    <w:tbl>
      <w:tblPr>
        <w:tblW w:w="7366"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701"/>
        <w:gridCol w:w="4957"/>
        <w:gridCol w:w="708"/>
      </w:tblGrid>
      <w:tr w:rsidR="00F01006">
        <w:trPr>
          <w:tblHeader/>
          <w:jc w:val="center"/>
        </w:trPr>
        <w:tc>
          <w:tcPr>
            <w:tcW w:w="1701" w:type="dxa"/>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eastAsia="de-DE"/>
              </w:rPr>
              <w:t>评分内容</w:t>
            </w:r>
          </w:p>
        </w:tc>
        <w:tc>
          <w:tcPr>
            <w:tcW w:w="4957" w:type="dxa"/>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eastAsia="de-DE"/>
              </w:rPr>
              <w:t>详细要求</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eastAsia="de-DE"/>
              </w:rPr>
              <w:t>配分</w:t>
            </w:r>
          </w:p>
        </w:tc>
      </w:tr>
      <w:tr w:rsidR="00F01006">
        <w:trPr>
          <w:jc w:val="center"/>
        </w:trPr>
        <w:tc>
          <w:tcPr>
            <w:tcW w:w="1701" w:type="dxa"/>
            <w:vMerge w:val="restart"/>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rPr>
            </w:pPr>
            <w:r>
              <w:rPr>
                <w:rFonts w:hint="eastAsia"/>
              </w:rPr>
              <w:t>人工智能系统环境安装与部署</w:t>
            </w: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rPr>
            </w:pPr>
            <w:r>
              <w:rPr>
                <w:rFonts w:ascii="仿宋_GB2312" w:eastAsia="仿宋_GB2312" w:hAnsi="仿宋_GB2312" w:cs="仿宋_GB2312" w:hint="eastAsia"/>
                <w:color w:val="000000" w:themeColor="text1"/>
                <w:kern w:val="0"/>
                <w:sz w:val="24"/>
                <w:lang w:val="de-DE"/>
              </w:rPr>
              <w:t>TensorFlow安装正确</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rPr>
              <w:t>3</w:t>
            </w:r>
          </w:p>
        </w:tc>
      </w:tr>
      <w:tr w:rsidR="00F01006">
        <w:trPr>
          <w:jc w:val="center"/>
        </w:trPr>
        <w:tc>
          <w:tcPr>
            <w:tcW w:w="1701" w:type="dxa"/>
            <w:vMerge/>
          </w:tcPr>
          <w:p w:rsidR="00F01006" w:rsidRDefault="00F01006">
            <w:pPr>
              <w:spacing w:line="290" w:lineRule="exact"/>
              <w:jc w:val="center"/>
              <w:rPr>
                <w:rFonts w:ascii="仿宋_GB2312" w:eastAsia="仿宋_GB2312" w:hAnsi="仿宋_GB2312" w:cs="仿宋_GB2312"/>
                <w:color w:val="000000" w:themeColor="text1"/>
                <w:sz w:val="24"/>
              </w:rPr>
            </w:pP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rPr>
            </w:pPr>
            <w:r>
              <w:rPr>
                <w:rFonts w:ascii="仿宋_GB2312" w:eastAsia="仿宋_GB2312" w:hAnsi="仿宋_GB2312" w:cs="仿宋_GB2312" w:hint="eastAsia"/>
                <w:color w:val="000000" w:themeColor="text1"/>
                <w:kern w:val="0"/>
                <w:sz w:val="24"/>
                <w:lang w:val="de-DE"/>
              </w:rPr>
              <w:t>导入T</w:t>
            </w:r>
            <w:r>
              <w:rPr>
                <w:rFonts w:ascii="仿宋_GB2312" w:eastAsia="仿宋_GB2312" w:hAnsi="仿宋_GB2312" w:cs="仿宋_GB2312"/>
                <w:color w:val="000000" w:themeColor="text1"/>
                <w:kern w:val="0"/>
                <w:sz w:val="24"/>
                <w:lang w:val="de-DE"/>
              </w:rPr>
              <w:t>ensorFlow</w:t>
            </w:r>
            <w:r>
              <w:rPr>
                <w:rFonts w:ascii="仿宋_GB2312" w:eastAsia="仿宋_GB2312" w:hAnsi="仿宋_GB2312" w:cs="仿宋_GB2312" w:hint="eastAsia"/>
                <w:color w:val="000000" w:themeColor="text1"/>
                <w:kern w:val="0"/>
                <w:sz w:val="24"/>
                <w:lang w:val="de-DE"/>
              </w:rPr>
              <w:t>无报错</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rPr>
            </w:pPr>
            <w:r>
              <w:rPr>
                <w:rFonts w:ascii="仿宋_GB2312" w:eastAsia="仿宋_GB2312" w:hAnsi="仿宋_GB2312" w:cs="仿宋_GB2312" w:hint="eastAsia"/>
                <w:color w:val="000000" w:themeColor="text1"/>
                <w:kern w:val="0"/>
                <w:sz w:val="24"/>
                <w:lang w:val="de-DE"/>
              </w:rPr>
              <w:t>2</w:t>
            </w:r>
          </w:p>
        </w:tc>
      </w:tr>
      <w:tr w:rsidR="00F01006">
        <w:trPr>
          <w:jc w:val="center"/>
        </w:trPr>
        <w:tc>
          <w:tcPr>
            <w:tcW w:w="1701" w:type="dxa"/>
            <w:vMerge/>
            <w:vAlign w:val="center"/>
          </w:tcPr>
          <w:p w:rsidR="00F01006" w:rsidRDefault="00F01006">
            <w:pPr>
              <w:spacing w:line="290" w:lineRule="exact"/>
              <w:jc w:val="center"/>
              <w:rPr>
                <w:rFonts w:ascii="仿宋_GB2312" w:eastAsia="仿宋_GB2312" w:hAnsi="仿宋_GB2312" w:cs="仿宋_GB2312"/>
                <w:color w:val="000000" w:themeColor="text1"/>
                <w:kern w:val="0"/>
                <w:sz w:val="24"/>
                <w:lang w:val="de-DE"/>
              </w:rPr>
            </w:pP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eastAsia="de-DE"/>
              </w:rPr>
              <w:t>模型测试报告中模型训练结果截图显示顺利完成训练</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rPr>
              <w:t>2</w:t>
            </w:r>
          </w:p>
        </w:tc>
      </w:tr>
      <w:tr w:rsidR="00F01006">
        <w:trPr>
          <w:jc w:val="center"/>
        </w:trPr>
        <w:tc>
          <w:tcPr>
            <w:tcW w:w="1701" w:type="dxa"/>
            <w:vMerge/>
          </w:tcPr>
          <w:p w:rsidR="00F01006" w:rsidRDefault="00F01006">
            <w:pPr>
              <w:spacing w:line="290" w:lineRule="exact"/>
              <w:jc w:val="center"/>
              <w:rPr>
                <w:rFonts w:ascii="仿宋_GB2312" w:eastAsia="仿宋_GB2312" w:hAnsi="仿宋_GB2312" w:cs="仿宋_GB2312"/>
                <w:color w:val="000000" w:themeColor="text1"/>
                <w:kern w:val="0"/>
                <w:sz w:val="24"/>
                <w:lang w:val="de-DE" w:eastAsia="de-DE"/>
              </w:rPr>
            </w:pP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eastAsia="de-DE"/>
              </w:rPr>
              <w:t>模型测试报告中模型训练结果截图显示测试集测试成功</w:t>
            </w:r>
            <w:r>
              <w:rPr>
                <w:rFonts w:ascii="仿宋_GB2312" w:eastAsia="仿宋_GB2312" w:hAnsi="仿宋_GB2312" w:cs="仿宋_GB2312" w:hint="eastAsia"/>
                <w:color w:val="000000" w:themeColor="text1"/>
                <w:kern w:val="0"/>
                <w:sz w:val="24"/>
                <w:lang w:val="de-DE"/>
              </w:rPr>
              <w:t>并显示二分类概率值</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rPr>
              <w:t>2</w:t>
            </w:r>
          </w:p>
        </w:tc>
      </w:tr>
      <w:tr w:rsidR="00F01006">
        <w:trPr>
          <w:jc w:val="center"/>
        </w:trPr>
        <w:tc>
          <w:tcPr>
            <w:tcW w:w="1701" w:type="dxa"/>
            <w:vMerge/>
          </w:tcPr>
          <w:p w:rsidR="00F01006" w:rsidRDefault="00F01006">
            <w:pPr>
              <w:spacing w:line="290" w:lineRule="exact"/>
              <w:jc w:val="center"/>
              <w:rPr>
                <w:rFonts w:ascii="仿宋_GB2312" w:eastAsia="仿宋_GB2312" w:hAnsi="仿宋_GB2312" w:cs="仿宋_GB2312"/>
                <w:color w:val="000000" w:themeColor="text1"/>
                <w:kern w:val="0"/>
                <w:sz w:val="24"/>
                <w:lang w:val="de-DE" w:eastAsia="de-DE"/>
              </w:rPr>
            </w:pP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eastAsia="de-DE"/>
              </w:rPr>
              <w:t>模型测试报告中模型训练结果截图显示测试集测试成功并显示</w:t>
            </w:r>
            <w:r>
              <w:rPr>
                <w:rFonts w:ascii="仿宋_GB2312" w:eastAsia="仿宋_GB2312" w:hAnsi="仿宋_GB2312" w:cs="仿宋_GB2312" w:hint="eastAsia"/>
                <w:color w:val="000000" w:themeColor="text1"/>
                <w:kern w:val="0"/>
                <w:sz w:val="24"/>
                <w:lang w:val="de-DE"/>
              </w:rPr>
              <w:t>测试图片</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rPr>
              <w:t>1</w:t>
            </w:r>
          </w:p>
        </w:tc>
      </w:tr>
      <w:tr w:rsidR="00F01006">
        <w:trPr>
          <w:jc w:val="center"/>
        </w:trPr>
        <w:tc>
          <w:tcPr>
            <w:tcW w:w="1701" w:type="dxa"/>
            <w:vMerge w:val="restart"/>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eastAsia="de-DE"/>
              </w:rPr>
            </w:pPr>
            <w:r>
              <w:rPr>
                <w:rFonts w:hint="eastAsia"/>
              </w:rPr>
              <w:t>系统部署搭建</w:t>
            </w: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rPr>
              <w:t>PLC系统与</w:t>
            </w:r>
            <w:r>
              <w:rPr>
                <w:rFonts w:ascii="仿宋_GB2312" w:eastAsia="仿宋_GB2312" w:hAnsi="仿宋_GB2312" w:cs="仿宋_GB2312" w:hint="eastAsia"/>
                <w:color w:val="000000" w:themeColor="text1"/>
                <w:kern w:val="0"/>
                <w:sz w:val="24"/>
                <w:lang w:val="de-DE"/>
              </w:rPr>
              <w:t>视觉系统</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rPr>
            </w:pPr>
            <w:r>
              <w:rPr>
                <w:rFonts w:ascii="仿宋_GB2312" w:eastAsia="仿宋_GB2312" w:hAnsi="仿宋_GB2312" w:cs="仿宋_GB2312" w:hint="eastAsia"/>
                <w:color w:val="000000" w:themeColor="text1"/>
                <w:kern w:val="0"/>
                <w:sz w:val="24"/>
              </w:rPr>
              <w:t>3</w:t>
            </w:r>
          </w:p>
        </w:tc>
      </w:tr>
      <w:tr w:rsidR="00F01006">
        <w:trPr>
          <w:jc w:val="center"/>
        </w:trPr>
        <w:tc>
          <w:tcPr>
            <w:tcW w:w="1701" w:type="dxa"/>
            <w:vMerge/>
            <w:vAlign w:val="center"/>
          </w:tcPr>
          <w:p w:rsidR="00F01006" w:rsidRDefault="00F01006">
            <w:pPr>
              <w:spacing w:line="290" w:lineRule="exact"/>
              <w:jc w:val="center"/>
              <w:rPr>
                <w:rFonts w:ascii="仿宋_GB2312" w:eastAsia="仿宋_GB2312" w:hAnsi="仿宋_GB2312" w:cs="仿宋_GB2312"/>
                <w:color w:val="000000" w:themeColor="text1"/>
                <w:kern w:val="0"/>
                <w:sz w:val="24"/>
                <w:lang w:val="de-DE" w:eastAsia="de-DE"/>
              </w:rPr>
            </w:pP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rPr>
              <w:t>智能机械臂的集成安装</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rPr>
            </w:pPr>
            <w:r>
              <w:rPr>
                <w:rFonts w:ascii="仿宋_GB2312" w:eastAsia="仿宋_GB2312" w:hAnsi="仿宋_GB2312" w:cs="仿宋_GB2312" w:hint="eastAsia"/>
                <w:color w:val="000000" w:themeColor="text1"/>
                <w:kern w:val="0"/>
                <w:sz w:val="24"/>
              </w:rPr>
              <w:t>3</w:t>
            </w:r>
          </w:p>
        </w:tc>
      </w:tr>
      <w:tr w:rsidR="00F01006">
        <w:trPr>
          <w:jc w:val="center"/>
        </w:trPr>
        <w:tc>
          <w:tcPr>
            <w:tcW w:w="1701" w:type="dxa"/>
            <w:vMerge/>
            <w:vAlign w:val="center"/>
          </w:tcPr>
          <w:p w:rsidR="00F01006" w:rsidRDefault="00F01006">
            <w:pPr>
              <w:spacing w:line="290" w:lineRule="exact"/>
              <w:jc w:val="center"/>
              <w:rPr>
                <w:rFonts w:ascii="仿宋_GB2312" w:eastAsia="仿宋_GB2312" w:hAnsi="仿宋_GB2312" w:cs="仿宋_GB2312"/>
                <w:color w:val="000000" w:themeColor="text1"/>
                <w:kern w:val="0"/>
                <w:sz w:val="24"/>
                <w:lang w:val="de-DE" w:eastAsia="de-DE"/>
              </w:rPr>
            </w:pP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rPr>
              <w:t>分拣传送系统安装</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rPr>
            </w:pPr>
            <w:r>
              <w:rPr>
                <w:rFonts w:ascii="仿宋_GB2312" w:eastAsia="仿宋_GB2312" w:hAnsi="仿宋_GB2312" w:cs="仿宋_GB2312" w:hint="eastAsia"/>
                <w:color w:val="000000" w:themeColor="text1"/>
                <w:kern w:val="0"/>
                <w:sz w:val="24"/>
              </w:rPr>
              <w:t>2</w:t>
            </w:r>
          </w:p>
        </w:tc>
      </w:tr>
      <w:tr w:rsidR="00F01006">
        <w:trPr>
          <w:jc w:val="center"/>
        </w:trPr>
        <w:tc>
          <w:tcPr>
            <w:tcW w:w="1701" w:type="dxa"/>
            <w:vMerge/>
            <w:vAlign w:val="center"/>
          </w:tcPr>
          <w:p w:rsidR="00F01006" w:rsidRDefault="00F01006">
            <w:pPr>
              <w:spacing w:line="290" w:lineRule="exact"/>
              <w:jc w:val="center"/>
              <w:rPr>
                <w:rFonts w:ascii="仿宋_GB2312" w:eastAsia="仿宋_GB2312" w:hAnsi="仿宋_GB2312" w:cs="仿宋_GB2312"/>
                <w:color w:val="000000" w:themeColor="text1"/>
                <w:kern w:val="0"/>
                <w:sz w:val="24"/>
                <w:lang w:val="de-DE" w:eastAsia="de-DE"/>
              </w:rPr>
            </w:pPr>
          </w:p>
        </w:tc>
        <w:tc>
          <w:tcPr>
            <w:tcW w:w="4957" w:type="dxa"/>
          </w:tcPr>
          <w:p w:rsidR="00F01006" w:rsidRDefault="00D42733">
            <w:pPr>
              <w:spacing w:line="290" w:lineRule="exact"/>
              <w:jc w:val="lef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rPr>
              <w:t>系统网络搭建连接</w:t>
            </w:r>
          </w:p>
        </w:tc>
        <w:tc>
          <w:tcPr>
            <w:tcW w:w="708" w:type="dxa"/>
            <w:vAlign w:val="center"/>
          </w:tcPr>
          <w:p w:rsidR="00F01006" w:rsidRDefault="00D42733">
            <w:pPr>
              <w:spacing w:line="290" w:lineRule="exact"/>
              <w:jc w:val="center"/>
              <w:rPr>
                <w:rFonts w:ascii="仿宋_GB2312" w:eastAsia="仿宋_GB2312" w:hAnsi="仿宋_GB2312" w:cs="仿宋_GB2312"/>
                <w:color w:val="000000" w:themeColor="text1"/>
                <w:kern w:val="0"/>
                <w:sz w:val="24"/>
                <w:lang w:val="de-DE"/>
              </w:rPr>
            </w:pPr>
            <w:r>
              <w:rPr>
                <w:rFonts w:ascii="仿宋_GB2312" w:eastAsia="仿宋_GB2312" w:hAnsi="仿宋_GB2312" w:cs="仿宋_GB2312" w:hint="eastAsia"/>
                <w:color w:val="000000" w:themeColor="text1"/>
                <w:kern w:val="0"/>
                <w:sz w:val="24"/>
              </w:rPr>
              <w:t>2</w:t>
            </w:r>
          </w:p>
        </w:tc>
      </w:tr>
      <w:tr w:rsidR="00F01006">
        <w:trPr>
          <w:jc w:val="center"/>
        </w:trPr>
        <w:tc>
          <w:tcPr>
            <w:tcW w:w="6658" w:type="dxa"/>
            <w:gridSpan w:val="2"/>
            <w:vAlign w:val="center"/>
          </w:tcPr>
          <w:p w:rsidR="00F01006" w:rsidRDefault="00D42733">
            <w:pPr>
              <w:adjustRightInd w:val="0"/>
              <w:snapToGrid w:val="0"/>
              <w:spacing w:line="290" w:lineRule="exact"/>
              <w:jc w:val="right"/>
              <w:rPr>
                <w:rFonts w:ascii="仿宋_GB2312" w:eastAsia="仿宋_GB2312" w:hAnsi="仿宋_GB2312" w:cs="仿宋_GB2312"/>
                <w:color w:val="000000" w:themeColor="text1"/>
                <w:kern w:val="0"/>
                <w:sz w:val="24"/>
                <w:lang w:val="de-DE" w:eastAsia="de-DE"/>
              </w:rPr>
            </w:pPr>
            <w:r>
              <w:rPr>
                <w:rFonts w:ascii="仿宋_GB2312" w:eastAsia="仿宋_GB2312" w:hAnsi="仿宋_GB2312" w:cs="仿宋_GB2312" w:hint="eastAsia"/>
                <w:color w:val="000000" w:themeColor="text1"/>
                <w:kern w:val="0"/>
                <w:sz w:val="24"/>
                <w:lang w:val="de-DE" w:eastAsia="de-DE"/>
              </w:rPr>
              <w:t>任务一小计：</w:t>
            </w:r>
          </w:p>
        </w:tc>
        <w:tc>
          <w:tcPr>
            <w:tcW w:w="708" w:type="dxa"/>
          </w:tcPr>
          <w:p w:rsidR="00F01006" w:rsidRDefault="00D42733">
            <w:pPr>
              <w:adjustRightInd w:val="0"/>
              <w:snapToGrid w:val="0"/>
              <w:spacing w:line="290" w:lineRule="exact"/>
              <w:jc w:val="center"/>
              <w:rPr>
                <w:rFonts w:ascii="仿宋_GB2312" w:eastAsia="仿宋_GB2312" w:hAnsi="仿宋_GB2312" w:cs="仿宋_GB2312"/>
                <w:color w:val="000000" w:themeColor="text1"/>
                <w:kern w:val="0"/>
                <w:sz w:val="24"/>
              </w:rPr>
            </w:pPr>
            <w:r>
              <w:rPr>
                <w:rFonts w:ascii="仿宋_GB2312" w:eastAsia="仿宋_GB2312" w:hAnsi="仿宋_GB2312" w:cs="仿宋_GB2312" w:hint="eastAsia"/>
                <w:color w:val="000000" w:themeColor="text1"/>
                <w:kern w:val="0"/>
                <w:sz w:val="24"/>
              </w:rPr>
              <w:t>20</w:t>
            </w:r>
          </w:p>
        </w:tc>
      </w:tr>
    </w:tbl>
    <w:p w:rsidR="00F01006" w:rsidRDefault="00D42733" w:rsidP="00995E9E">
      <w:pPr>
        <w:adjustRightInd w:val="0"/>
        <w:snapToGrid w:val="0"/>
        <w:spacing w:beforeLines="50" w:line="360" w:lineRule="auto"/>
        <w:rPr>
          <w:rFonts w:ascii="仿宋_GB2312" w:eastAsia="仿宋_GB2312" w:hAnsi="仿宋_GB2312" w:cs="仿宋_GB2312"/>
          <w:color w:val="000000" w:themeColor="text1"/>
          <w:kern w:val="0"/>
          <w:sz w:val="18"/>
          <w:szCs w:val="18"/>
          <w:lang w:val="de-DE"/>
        </w:rPr>
      </w:pPr>
      <w:r>
        <w:rPr>
          <w:rFonts w:ascii="仿宋_GB2312" w:eastAsia="仿宋_GB2312" w:hAnsi="仿宋_GB2312" w:cs="仿宋_GB2312" w:hint="eastAsia"/>
          <w:color w:val="000000" w:themeColor="text1"/>
          <w:kern w:val="0"/>
          <w:sz w:val="18"/>
          <w:szCs w:val="18"/>
          <w:lang w:val="de-DE"/>
        </w:rPr>
        <w:t>1选手所提交的截图如尺寸过小造成结果无法辨识的视为无效截图。</w:t>
      </w:r>
    </w:p>
    <w:p w:rsidR="00F01006" w:rsidRDefault="00D42733" w:rsidP="00995E9E">
      <w:pPr>
        <w:adjustRightInd w:val="0"/>
        <w:snapToGrid w:val="0"/>
        <w:spacing w:beforeLines="50" w:line="360" w:lineRule="auto"/>
        <w:rPr>
          <w:rFonts w:ascii="仿宋_GB2312" w:eastAsia="仿宋_GB2312" w:hAnsi="仿宋_GB2312" w:cs="仿宋_GB2312"/>
          <w:color w:val="000000" w:themeColor="text1"/>
          <w:kern w:val="0"/>
          <w:sz w:val="18"/>
          <w:szCs w:val="18"/>
          <w:lang w:val="de-DE"/>
        </w:rPr>
      </w:pPr>
      <w:r>
        <w:rPr>
          <w:rFonts w:ascii="仿宋_GB2312" w:eastAsia="仿宋_GB2312" w:hAnsi="仿宋_GB2312" w:cs="仿宋_GB2312" w:hint="eastAsia"/>
          <w:color w:val="000000" w:themeColor="text1"/>
          <w:kern w:val="0"/>
          <w:sz w:val="18"/>
          <w:szCs w:val="18"/>
          <w:lang w:val="de-DE"/>
        </w:rPr>
        <w:t>2对所有参赛队提交的代码进行检查，如代码无法实现截图功能的则视为该参赛队提交的截图做假，建议取消比赛资格通报批评。</w:t>
      </w:r>
    </w:p>
    <w:p w:rsidR="00F01006" w:rsidRDefault="00D42733">
      <w:pPr>
        <w:adjustRightInd w:val="0"/>
        <w:contextualSpacing/>
        <w:jc w:val="left"/>
        <w:outlineLvl w:val="0"/>
        <w:rPr>
          <w:rFonts w:ascii="仿宋_GB2312" w:eastAsia="仿宋_GB2312" w:hAnsi="仿宋_GB2312" w:cs="仿宋_GB2312"/>
          <w:b/>
          <w:bCs/>
          <w:color w:val="000000" w:themeColor="text1"/>
          <w:kern w:val="0"/>
          <w:sz w:val="28"/>
          <w:szCs w:val="28"/>
          <w:lang w:val="de-DE" w:eastAsia="de-DE"/>
        </w:rPr>
      </w:pPr>
      <w:r>
        <w:rPr>
          <w:rFonts w:ascii="仿宋_GB2312" w:eastAsia="仿宋_GB2312" w:hAnsi="仿宋_GB2312" w:cs="仿宋_GB2312" w:hint="eastAsia"/>
          <w:b/>
          <w:bCs/>
          <w:color w:val="000000" w:themeColor="text1"/>
          <w:kern w:val="0"/>
          <w:sz w:val="28"/>
          <w:szCs w:val="28"/>
          <w:lang w:val="de-DE" w:eastAsia="de-DE"/>
        </w:rPr>
        <w:lastRenderedPageBreak/>
        <w:t>任务</w:t>
      </w:r>
      <w:r>
        <w:rPr>
          <w:rFonts w:ascii="仿宋_GB2312" w:eastAsia="仿宋_GB2312" w:hAnsi="仿宋_GB2312" w:cs="仿宋_GB2312" w:hint="eastAsia"/>
          <w:b/>
          <w:bCs/>
          <w:color w:val="000000" w:themeColor="text1"/>
          <w:kern w:val="0"/>
          <w:sz w:val="28"/>
          <w:szCs w:val="28"/>
          <w:lang w:val="de-DE"/>
        </w:rPr>
        <w:t>二</w:t>
      </w:r>
      <w:r>
        <w:rPr>
          <w:rFonts w:ascii="仿宋_GB2312" w:eastAsia="仿宋_GB2312" w:hAnsi="仿宋_GB2312" w:cs="仿宋_GB2312" w:hint="eastAsia"/>
          <w:b/>
          <w:bCs/>
          <w:color w:val="000000" w:themeColor="text1"/>
          <w:kern w:val="0"/>
          <w:sz w:val="28"/>
          <w:szCs w:val="28"/>
          <w:lang w:val="de-DE" w:eastAsia="de-DE"/>
        </w:rPr>
        <w:t>、人工智能</w:t>
      </w:r>
      <w:r>
        <w:rPr>
          <w:rFonts w:ascii="仿宋_GB2312" w:eastAsia="仿宋_GB2312" w:hAnsi="仿宋_GB2312" w:cs="仿宋_GB2312" w:hint="eastAsia"/>
          <w:b/>
          <w:bCs/>
          <w:color w:val="000000" w:themeColor="text1"/>
          <w:kern w:val="0"/>
          <w:sz w:val="28"/>
          <w:szCs w:val="28"/>
          <w:lang w:val="de-DE"/>
        </w:rPr>
        <w:t>与机器人</w:t>
      </w:r>
      <w:r>
        <w:rPr>
          <w:rFonts w:ascii="仿宋_GB2312" w:eastAsia="仿宋_GB2312" w:hAnsi="仿宋_GB2312" w:cs="仿宋_GB2312" w:hint="eastAsia"/>
          <w:b/>
          <w:bCs/>
          <w:color w:val="000000" w:themeColor="text1"/>
          <w:kern w:val="0"/>
          <w:sz w:val="28"/>
          <w:szCs w:val="28"/>
          <w:lang w:val="de-DE" w:eastAsia="de-DE"/>
        </w:rPr>
        <w:t>单元编程与训练实践</w:t>
      </w:r>
    </w:p>
    <w:p w:rsidR="00F01006" w:rsidRDefault="00D42733">
      <w:pPr>
        <w:adjustRightInd w:val="0"/>
        <w:ind w:firstLineChars="300" w:firstLine="84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rPr>
        <w:t>子任务1.</w:t>
      </w:r>
      <w:r>
        <w:rPr>
          <w:rFonts w:ascii="仿宋_GB2312" w:eastAsia="仿宋_GB2312" w:hAnsi="仿宋_GB2312" w:cs="仿宋_GB2312" w:hint="eastAsia"/>
          <w:color w:val="000000" w:themeColor="text1"/>
          <w:kern w:val="0"/>
          <w:sz w:val="28"/>
          <w:szCs w:val="28"/>
          <w:lang w:val="de-DE" w:eastAsia="de-DE"/>
        </w:rPr>
        <w:t>人脸识别身份认证</w:t>
      </w:r>
    </w:p>
    <w:p w:rsidR="00F01006" w:rsidRDefault="00D42733">
      <w:pPr>
        <w:adjustRightInd w:val="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rPr>
        <w:t xml:space="preserve">    通过编写程序在云端建立人脸库，调用AI开放平台人脸对比API接口服务，对请求图片的两个人脸进行对比，计算相似性以及五官相似度。请以选手自身为案例进行测试。</w:t>
      </w:r>
    </w:p>
    <w:p w:rsidR="00F01006" w:rsidRDefault="00D42733">
      <w:pPr>
        <w:adjustRightInd w:val="0"/>
        <w:contextualSpacing/>
        <w:jc w:val="center"/>
        <w:rPr>
          <w:rFonts w:ascii="仿宋_GB2312" w:eastAsia="仿宋_GB2312" w:hAnsi="仿宋_GB2312" w:cs="仿宋_GB2312"/>
          <w:color w:val="000000" w:themeColor="text1"/>
          <w:kern w:val="0"/>
          <w:sz w:val="28"/>
          <w:szCs w:val="28"/>
        </w:rPr>
      </w:pPr>
      <w:r>
        <w:rPr>
          <w:noProof/>
        </w:rPr>
        <w:drawing>
          <wp:inline distT="0" distB="0" distL="114300" distR="114300">
            <wp:extent cx="3291840" cy="3131185"/>
            <wp:effectExtent l="0" t="0" r="0" b="8255"/>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
                    <pic:cNvPicPr>
                      <a:picLocks noChangeAspect="1"/>
                    </pic:cNvPicPr>
                  </pic:nvPicPr>
                  <pic:blipFill>
                    <a:blip r:embed="rId22"/>
                    <a:srcRect l="31385" t="14555" r="25594" b="8770"/>
                    <a:stretch>
                      <a:fillRect/>
                    </a:stretch>
                  </pic:blipFill>
                  <pic:spPr>
                    <a:xfrm>
                      <a:off x="0" y="0"/>
                      <a:ext cx="3291840" cy="3131185"/>
                    </a:xfrm>
                    <a:prstGeom prst="rect">
                      <a:avLst/>
                    </a:prstGeom>
                    <a:noFill/>
                    <a:ln>
                      <a:noFill/>
                    </a:ln>
                  </pic:spPr>
                </pic:pic>
              </a:graphicData>
            </a:graphic>
          </wp:inline>
        </w:drawing>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2.</w:t>
      </w:r>
      <w:r>
        <w:rPr>
          <w:rFonts w:ascii="仿宋_GB2312" w:eastAsia="仿宋_GB2312" w:hAnsi="仿宋_GB2312" w:cs="仿宋_GB2312" w:hint="eastAsia"/>
          <w:color w:val="000000" w:themeColor="text1"/>
          <w:kern w:val="0"/>
          <w:sz w:val="28"/>
          <w:szCs w:val="28"/>
          <w:lang w:val="de-DE" w:eastAsia="de-DE"/>
        </w:rPr>
        <w:t>语音识别算法调试与训练</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rPr>
        <w:t>调用云端开放平台语音识别API接口服务。进行</w:t>
      </w:r>
      <w:r>
        <w:rPr>
          <w:rFonts w:ascii="仿宋_GB2312" w:eastAsia="仿宋_GB2312" w:hAnsi="仿宋_GB2312" w:cs="仿宋_GB2312" w:hint="eastAsia"/>
          <w:color w:val="000000" w:themeColor="text1"/>
          <w:kern w:val="0"/>
          <w:sz w:val="28"/>
          <w:szCs w:val="28"/>
          <w:lang w:val="de-DE" w:eastAsia="de-DE"/>
        </w:rPr>
        <w:t>语音在线识别，对整段音频进行识别，识别完成后，将返回语音的文字内容。</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rPr>
      </w:pPr>
      <w:r>
        <w:rPr>
          <w:rFonts w:ascii="仿宋_GB2312" w:eastAsia="仿宋_GB2312" w:hAnsi="仿宋_GB2312" w:cs="仿宋_GB2312" w:hint="eastAsia"/>
          <w:color w:val="000000" w:themeColor="text1"/>
          <w:kern w:val="0"/>
          <w:sz w:val="28"/>
          <w:szCs w:val="28"/>
          <w:lang w:val="de-DE"/>
        </w:rPr>
        <w:t>对返回的</w:t>
      </w:r>
      <w:r>
        <w:rPr>
          <w:rFonts w:ascii="仿宋_GB2312" w:eastAsia="仿宋_GB2312" w:hAnsi="仿宋_GB2312" w:cs="仿宋_GB2312" w:hint="eastAsia"/>
          <w:color w:val="000000" w:themeColor="text1"/>
          <w:kern w:val="0"/>
          <w:sz w:val="28"/>
          <w:szCs w:val="28"/>
          <w:lang w:val="de-DE" w:eastAsia="de-DE"/>
        </w:rPr>
        <w:t>语音的文字内容进行意图识别，快速找出意图及上下文成分</w:t>
      </w:r>
      <w:r>
        <w:rPr>
          <w:rFonts w:ascii="仿宋_GB2312" w:eastAsia="仿宋_GB2312" w:hAnsi="仿宋_GB2312" w:cs="仿宋_GB2312" w:hint="eastAsia"/>
          <w:color w:val="000000" w:themeColor="text1"/>
          <w:kern w:val="0"/>
          <w:sz w:val="28"/>
          <w:szCs w:val="28"/>
          <w:lang w:val="de-DE"/>
        </w:rPr>
        <w:t>。</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rPr>
        <w:t>请以选手以“传送带开始工作”、“传送带停止工作”进行测试。</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3.</w:t>
      </w:r>
      <w:r>
        <w:rPr>
          <w:rFonts w:ascii="仿宋_GB2312" w:eastAsia="仿宋_GB2312" w:hAnsi="仿宋_GB2312" w:cs="仿宋_GB2312" w:hint="eastAsia"/>
          <w:color w:val="000000" w:themeColor="text1"/>
          <w:kern w:val="0"/>
          <w:sz w:val="28"/>
          <w:szCs w:val="28"/>
          <w:lang w:val="de-DE" w:eastAsia="de-DE"/>
        </w:rPr>
        <w:t>视觉定位算法调试与训练</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rPr>
      </w:pPr>
      <w:r>
        <w:rPr>
          <w:rFonts w:ascii="仿宋_GB2312" w:eastAsia="仿宋_GB2312" w:hAnsi="仿宋_GB2312" w:cs="仿宋_GB2312" w:hint="eastAsia"/>
          <w:color w:val="000000" w:themeColor="text1"/>
          <w:kern w:val="0"/>
          <w:sz w:val="28"/>
          <w:szCs w:val="28"/>
          <w:lang w:val="de-DE"/>
        </w:rPr>
        <w:t>给出“可回收垃圾、</w:t>
      </w:r>
      <w:bookmarkStart w:id="2" w:name="1065537-1127330-4_2"/>
      <w:bookmarkEnd w:id="2"/>
      <w:r>
        <w:rPr>
          <w:rFonts w:ascii="仿宋_GB2312" w:eastAsia="仿宋_GB2312" w:hAnsi="仿宋_GB2312" w:cs="仿宋_GB2312" w:hint="eastAsia"/>
          <w:color w:val="000000" w:themeColor="text1"/>
          <w:kern w:val="0"/>
          <w:sz w:val="28"/>
          <w:szCs w:val="28"/>
          <w:lang w:val="de-DE"/>
        </w:rPr>
        <w:t>其它（干垃圾）、</w:t>
      </w:r>
      <w:bookmarkStart w:id="3" w:name="1065537-1127330-4_3"/>
      <w:bookmarkEnd w:id="3"/>
      <w:r>
        <w:rPr>
          <w:rFonts w:ascii="仿宋_GB2312" w:eastAsia="仿宋_GB2312" w:hAnsi="仿宋_GB2312" w:cs="仿宋_GB2312" w:hint="eastAsia"/>
          <w:color w:val="000000" w:themeColor="text1"/>
          <w:kern w:val="0"/>
          <w:sz w:val="28"/>
          <w:szCs w:val="28"/>
          <w:lang w:val="de-DE"/>
        </w:rPr>
        <w:t>厨余（湿垃圾）、</w:t>
      </w:r>
      <w:hyperlink r:id="rId23" w:history="1">
        <w:r>
          <w:rPr>
            <w:rFonts w:ascii="仿宋_GB2312" w:eastAsia="仿宋_GB2312" w:hAnsi="仿宋_GB2312" w:cs="仿宋_GB2312" w:hint="eastAsia"/>
            <w:color w:val="000000" w:themeColor="text1"/>
            <w:kern w:val="0"/>
            <w:sz w:val="28"/>
            <w:szCs w:val="28"/>
            <w:lang w:val="de-DE"/>
          </w:rPr>
          <w:t>折叠</w:t>
        </w:r>
      </w:hyperlink>
      <w:r>
        <w:rPr>
          <w:rFonts w:ascii="仿宋_GB2312" w:eastAsia="仿宋_GB2312" w:hAnsi="仿宋_GB2312" w:cs="仿宋_GB2312" w:hint="eastAsia"/>
          <w:color w:val="000000" w:themeColor="text1"/>
          <w:kern w:val="0"/>
          <w:sz w:val="28"/>
          <w:szCs w:val="28"/>
          <w:lang w:val="de-DE"/>
        </w:rPr>
        <w:t>有害垃圾”四类垃圾见下图，</w:t>
      </w:r>
      <w:bookmarkStart w:id="4" w:name="1065537-1127330-4_4"/>
      <w:bookmarkEnd w:id="4"/>
      <w:r>
        <w:rPr>
          <w:rFonts w:ascii="仿宋_GB2312" w:eastAsia="仿宋_GB2312" w:hAnsi="仿宋_GB2312" w:cs="仿宋_GB2312" w:hint="eastAsia"/>
          <w:color w:val="000000" w:themeColor="text1"/>
          <w:kern w:val="0"/>
          <w:sz w:val="28"/>
          <w:szCs w:val="28"/>
          <w:lang w:val="de-DE"/>
        </w:rPr>
        <w:t>准确的进行分拣。</w:t>
      </w:r>
    </w:p>
    <w:p w:rsidR="00F01006" w:rsidRDefault="00D42733">
      <w:pPr>
        <w:adjustRightInd w:val="0"/>
        <w:ind w:firstLineChars="200" w:firstLine="420"/>
        <w:contextualSpacing/>
        <w:jc w:val="center"/>
        <w:rPr>
          <w:rFonts w:ascii="仿宋_GB2312" w:eastAsia="仿宋_GB2312" w:hAnsi="仿宋_GB2312" w:cs="仿宋_GB2312"/>
          <w:color w:val="000000" w:themeColor="text1"/>
          <w:kern w:val="0"/>
          <w:sz w:val="28"/>
          <w:szCs w:val="28"/>
          <w:lang w:val="de-DE" w:eastAsia="de-DE"/>
        </w:rPr>
      </w:pPr>
      <w:r>
        <w:rPr>
          <w:rFonts w:eastAsiaTheme="minorEastAsia" w:hint="eastAsia"/>
          <w:noProof/>
          <w:color w:val="000000" w:themeColor="text1"/>
        </w:rPr>
        <w:lastRenderedPageBreak/>
        <w:drawing>
          <wp:inline distT="0" distB="0" distL="114300" distR="114300">
            <wp:extent cx="985520" cy="654050"/>
            <wp:effectExtent l="9525" t="9525" r="10795" b="22225"/>
            <wp:docPr id="34" name="图片 34"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23"/>
                    <pic:cNvPicPr>
                      <a:picLocks noChangeAspect="1"/>
                    </pic:cNvPicPr>
                  </pic:nvPicPr>
                  <pic:blipFill>
                    <a:blip r:embed="rId16"/>
                    <a:stretch>
                      <a:fillRect/>
                    </a:stretch>
                  </pic:blipFill>
                  <pic:spPr>
                    <a:xfrm>
                      <a:off x="0" y="0"/>
                      <a:ext cx="985520" cy="654050"/>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889635" cy="667385"/>
            <wp:effectExtent l="9525" t="9525" r="15240" b="24130"/>
            <wp:docPr id="35" name="图片 35" descr="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8(1)"/>
                    <pic:cNvPicPr>
                      <a:picLocks noChangeAspect="1"/>
                    </pic:cNvPicPr>
                  </pic:nvPicPr>
                  <pic:blipFill>
                    <a:blip r:embed="rId17"/>
                    <a:stretch>
                      <a:fillRect/>
                    </a:stretch>
                  </pic:blipFill>
                  <pic:spPr>
                    <a:xfrm>
                      <a:off x="0" y="0"/>
                      <a:ext cx="889635" cy="667385"/>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998855" cy="662940"/>
            <wp:effectExtent l="9525" t="9525" r="12700" b="13335"/>
            <wp:docPr id="38" name="图片 3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5"/>
                    <pic:cNvPicPr>
                      <a:picLocks noChangeAspect="1"/>
                    </pic:cNvPicPr>
                  </pic:nvPicPr>
                  <pic:blipFill>
                    <a:blip r:embed="rId19"/>
                    <a:stretch>
                      <a:fillRect/>
                    </a:stretch>
                  </pic:blipFill>
                  <pic:spPr>
                    <a:xfrm>
                      <a:off x="0" y="0"/>
                      <a:ext cx="998855" cy="662940"/>
                    </a:xfrm>
                    <a:prstGeom prst="rect">
                      <a:avLst/>
                    </a:prstGeom>
                    <a:ln>
                      <a:solidFill>
                        <a:schemeClr val="tx1"/>
                      </a:solidFill>
                    </a:ln>
                  </pic:spPr>
                </pic:pic>
              </a:graphicData>
            </a:graphic>
          </wp:inline>
        </w:drawing>
      </w:r>
      <w:r>
        <w:rPr>
          <w:rFonts w:eastAsiaTheme="minorEastAsia" w:hint="eastAsia"/>
          <w:noProof/>
          <w:color w:val="000000" w:themeColor="text1"/>
        </w:rPr>
        <w:drawing>
          <wp:inline distT="0" distB="0" distL="114300" distR="114300">
            <wp:extent cx="663575" cy="663575"/>
            <wp:effectExtent l="9525" t="9525" r="12700" b="12700"/>
            <wp:docPr id="41" name="图片 4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8"/>
                    <pic:cNvPicPr>
                      <a:picLocks noChangeAspect="1"/>
                    </pic:cNvPicPr>
                  </pic:nvPicPr>
                  <pic:blipFill>
                    <a:blip r:embed="rId14"/>
                    <a:stretch>
                      <a:fillRect/>
                    </a:stretch>
                  </pic:blipFill>
                  <pic:spPr>
                    <a:xfrm>
                      <a:off x="0" y="0"/>
                      <a:ext cx="663575" cy="663575"/>
                    </a:xfrm>
                    <a:prstGeom prst="rect">
                      <a:avLst/>
                    </a:prstGeom>
                    <a:ln>
                      <a:solidFill>
                        <a:schemeClr val="tx1"/>
                      </a:solidFill>
                    </a:ln>
                  </pic:spPr>
                </pic:pic>
              </a:graphicData>
            </a:graphic>
          </wp:inline>
        </w:drawing>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rPr>
      </w:pPr>
      <w:r>
        <w:rPr>
          <w:rFonts w:ascii="仿宋_GB2312" w:eastAsia="仿宋_GB2312" w:hAnsi="仿宋_GB2312" w:cs="仿宋_GB2312" w:hint="eastAsia"/>
          <w:color w:val="000000" w:themeColor="text1"/>
          <w:kern w:val="0"/>
          <w:sz w:val="28"/>
          <w:szCs w:val="28"/>
          <w:lang w:val="de-DE"/>
        </w:rPr>
        <w:t>要求进行</w:t>
      </w:r>
      <w:r>
        <w:rPr>
          <w:rFonts w:ascii="仿宋_GB2312" w:eastAsia="仿宋_GB2312" w:hAnsi="仿宋_GB2312" w:cs="仿宋_GB2312" w:hint="eastAsia"/>
          <w:color w:val="000000" w:themeColor="text1"/>
          <w:kern w:val="0"/>
          <w:sz w:val="28"/>
          <w:szCs w:val="28"/>
          <w:lang w:val="de-DE" w:eastAsia="de-DE"/>
        </w:rPr>
        <w:t>有无/正反检测、位置判断、定位、2D尺寸测量、快速特征匹配</w:t>
      </w:r>
      <w:r>
        <w:rPr>
          <w:rFonts w:ascii="仿宋_GB2312" w:eastAsia="仿宋_GB2312" w:hAnsi="仿宋_GB2312" w:cs="仿宋_GB2312" w:hint="eastAsia"/>
          <w:color w:val="000000" w:themeColor="text1"/>
          <w:kern w:val="0"/>
          <w:sz w:val="28"/>
          <w:szCs w:val="28"/>
          <w:lang w:val="de-DE"/>
        </w:rPr>
        <w:t>等查找。</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4.</w:t>
      </w:r>
      <w:r>
        <w:rPr>
          <w:rFonts w:ascii="仿宋_GB2312" w:eastAsia="仿宋_GB2312" w:hAnsi="仿宋_GB2312" w:cs="仿宋_GB2312" w:hint="eastAsia"/>
          <w:color w:val="000000" w:themeColor="text1"/>
          <w:kern w:val="0"/>
          <w:sz w:val="28"/>
          <w:szCs w:val="28"/>
          <w:lang w:val="de-DE" w:eastAsia="de-DE"/>
        </w:rPr>
        <w:t>智能机械臂抓取动作</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rPr>
      </w:pPr>
      <w:r>
        <w:rPr>
          <w:rFonts w:ascii="仿宋_GB2312" w:eastAsia="仿宋_GB2312" w:hAnsi="仿宋_GB2312" w:cs="仿宋_GB2312" w:hint="eastAsia"/>
          <w:color w:val="000000" w:themeColor="text1"/>
          <w:kern w:val="0"/>
          <w:sz w:val="28"/>
          <w:szCs w:val="28"/>
          <w:lang w:val="de-DE"/>
        </w:rPr>
        <w:t>给出“可回收垃圾、其它（干垃圾）、厨余（湿垃圾）、有害垃圾”四类垃圾在相应的位置，</w:t>
      </w:r>
      <w:r>
        <w:rPr>
          <w:rFonts w:ascii="仿宋_GB2312" w:eastAsia="仿宋_GB2312" w:hAnsi="仿宋_GB2312" w:cs="仿宋_GB2312" w:hint="eastAsia"/>
          <w:color w:val="000000" w:themeColor="text1"/>
          <w:kern w:val="0"/>
          <w:sz w:val="28"/>
          <w:szCs w:val="28"/>
          <w:lang w:val="de-DE" w:eastAsia="de-DE"/>
        </w:rPr>
        <w:t>智能机械臂</w:t>
      </w:r>
      <w:r>
        <w:rPr>
          <w:rFonts w:ascii="仿宋_GB2312" w:eastAsia="仿宋_GB2312" w:hAnsi="仿宋_GB2312" w:cs="仿宋_GB2312" w:hint="eastAsia"/>
          <w:color w:val="000000" w:themeColor="text1"/>
          <w:kern w:val="0"/>
          <w:sz w:val="28"/>
          <w:szCs w:val="28"/>
          <w:lang w:val="de-DE"/>
        </w:rPr>
        <w:t>能根据大小、形状完成</w:t>
      </w:r>
      <w:r>
        <w:rPr>
          <w:rFonts w:ascii="仿宋_GB2312" w:eastAsia="仿宋_GB2312" w:hAnsi="仿宋_GB2312" w:cs="仿宋_GB2312" w:hint="eastAsia"/>
          <w:color w:val="000000" w:themeColor="text1"/>
          <w:kern w:val="0"/>
          <w:sz w:val="28"/>
          <w:szCs w:val="28"/>
          <w:lang w:val="de-DE" w:eastAsia="de-DE"/>
        </w:rPr>
        <w:t>抓取动作</w:t>
      </w:r>
      <w:r>
        <w:rPr>
          <w:rFonts w:ascii="仿宋_GB2312" w:eastAsia="仿宋_GB2312" w:hAnsi="仿宋_GB2312" w:cs="仿宋_GB2312" w:hint="eastAsia"/>
          <w:color w:val="000000" w:themeColor="text1"/>
          <w:kern w:val="0"/>
          <w:sz w:val="28"/>
          <w:szCs w:val="28"/>
          <w:lang w:val="de-DE"/>
        </w:rPr>
        <w:t>。</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5.</w:t>
      </w:r>
      <w:r>
        <w:rPr>
          <w:rFonts w:ascii="仿宋_GB2312" w:eastAsia="仿宋_GB2312" w:hAnsi="仿宋_GB2312" w:cs="仿宋_GB2312" w:hint="eastAsia"/>
          <w:color w:val="000000" w:themeColor="text1"/>
          <w:kern w:val="0"/>
          <w:sz w:val="28"/>
          <w:szCs w:val="28"/>
          <w:lang w:val="de-DE" w:eastAsia="de-DE"/>
        </w:rPr>
        <w:t>传感器数据采集</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lang w:val="de-DE"/>
        </w:rPr>
        <w:t>分拣传送带上的各类传感器进行位置、金属与非金属检测，并将信号送给</w:t>
      </w:r>
      <w:r>
        <w:rPr>
          <w:rFonts w:ascii="仿宋_GB2312" w:eastAsia="仿宋_GB2312" w:hAnsi="仿宋_GB2312" w:cs="仿宋_GB2312" w:hint="eastAsia"/>
          <w:color w:val="000000" w:themeColor="text1"/>
          <w:kern w:val="0"/>
          <w:sz w:val="28"/>
          <w:szCs w:val="28"/>
        </w:rPr>
        <w:t>PLC。</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6.</w:t>
      </w:r>
      <w:r>
        <w:rPr>
          <w:rFonts w:ascii="仿宋_GB2312" w:eastAsia="仿宋_GB2312" w:hAnsi="仿宋_GB2312" w:cs="仿宋_GB2312" w:hint="eastAsia"/>
          <w:color w:val="000000" w:themeColor="text1"/>
          <w:kern w:val="0"/>
          <w:sz w:val="28"/>
          <w:szCs w:val="28"/>
          <w:lang w:val="de-DE" w:eastAsia="de-DE"/>
        </w:rPr>
        <w:t>上料机器人编程</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lang w:val="de-DE" w:eastAsia="de-DE"/>
        </w:rPr>
        <w:t>编程</w:t>
      </w:r>
      <w:r>
        <w:rPr>
          <w:rFonts w:ascii="仿宋_GB2312" w:eastAsia="仿宋_GB2312" w:hAnsi="仿宋_GB2312" w:cs="仿宋_GB2312" w:hint="eastAsia"/>
          <w:color w:val="000000" w:themeColor="text1"/>
          <w:kern w:val="0"/>
          <w:sz w:val="28"/>
          <w:szCs w:val="28"/>
          <w:lang w:val="de-DE"/>
        </w:rPr>
        <w:t>协作机器人程序，</w:t>
      </w:r>
      <w:r>
        <w:rPr>
          <w:rFonts w:ascii="仿宋_GB2312" w:eastAsia="仿宋_GB2312" w:hAnsi="仿宋_GB2312" w:cs="仿宋_GB2312" w:hint="eastAsia"/>
          <w:color w:val="000000" w:themeColor="text1"/>
          <w:kern w:val="0"/>
          <w:sz w:val="28"/>
          <w:szCs w:val="28"/>
          <w:lang w:val="de-DE" w:eastAsia="de-DE"/>
        </w:rPr>
        <w:t>上料机器人</w:t>
      </w:r>
      <w:r>
        <w:rPr>
          <w:rFonts w:ascii="仿宋_GB2312" w:eastAsia="仿宋_GB2312" w:hAnsi="仿宋_GB2312" w:cs="仿宋_GB2312" w:hint="eastAsia"/>
          <w:color w:val="000000" w:themeColor="text1"/>
          <w:kern w:val="0"/>
          <w:sz w:val="28"/>
          <w:szCs w:val="28"/>
          <w:lang w:val="de-DE"/>
        </w:rPr>
        <w:t>将随机摆放的垃圾物料抓取，并放置在分拣传送带上。</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7.</w:t>
      </w:r>
      <w:r>
        <w:rPr>
          <w:rFonts w:ascii="仿宋_GB2312" w:eastAsia="仿宋_GB2312" w:hAnsi="仿宋_GB2312" w:cs="仿宋_GB2312" w:hint="eastAsia"/>
          <w:color w:val="000000" w:themeColor="text1"/>
          <w:kern w:val="0"/>
          <w:sz w:val="28"/>
          <w:szCs w:val="28"/>
          <w:lang w:val="de-DE" w:eastAsia="de-DE"/>
        </w:rPr>
        <w:t>分拣机器人编程</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lang w:val="de-DE" w:eastAsia="de-DE"/>
        </w:rPr>
        <w:t>编程</w:t>
      </w:r>
      <w:r>
        <w:rPr>
          <w:rFonts w:ascii="仿宋_GB2312" w:eastAsia="仿宋_GB2312" w:hAnsi="仿宋_GB2312" w:cs="仿宋_GB2312" w:hint="eastAsia"/>
          <w:color w:val="000000" w:themeColor="text1"/>
          <w:kern w:val="0"/>
          <w:sz w:val="28"/>
          <w:szCs w:val="28"/>
          <w:lang w:val="de-DE"/>
        </w:rPr>
        <w:t>协作机器人程序，分拣</w:t>
      </w:r>
      <w:r>
        <w:rPr>
          <w:rFonts w:ascii="仿宋_GB2312" w:eastAsia="仿宋_GB2312" w:hAnsi="仿宋_GB2312" w:cs="仿宋_GB2312" w:hint="eastAsia"/>
          <w:color w:val="000000" w:themeColor="text1"/>
          <w:kern w:val="0"/>
          <w:sz w:val="28"/>
          <w:szCs w:val="28"/>
          <w:lang w:val="de-DE" w:eastAsia="de-DE"/>
        </w:rPr>
        <w:t>机器人</w:t>
      </w:r>
      <w:r>
        <w:rPr>
          <w:rFonts w:ascii="仿宋_GB2312" w:eastAsia="仿宋_GB2312" w:hAnsi="仿宋_GB2312" w:cs="仿宋_GB2312" w:hint="eastAsia"/>
          <w:color w:val="000000" w:themeColor="text1"/>
          <w:kern w:val="0"/>
          <w:sz w:val="28"/>
          <w:szCs w:val="28"/>
          <w:lang w:val="de-DE"/>
        </w:rPr>
        <w:t>将不同类别垃圾物料抓取，并放置到不同的垃圾仓中。</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eastAsia="de-DE"/>
        </w:rPr>
        <w:t>子任务</w:t>
      </w:r>
      <w:r>
        <w:rPr>
          <w:rFonts w:ascii="仿宋_GB2312" w:eastAsia="仿宋_GB2312" w:hAnsi="仿宋_GB2312" w:cs="仿宋_GB2312" w:hint="eastAsia"/>
          <w:color w:val="000000" w:themeColor="text1"/>
          <w:kern w:val="0"/>
          <w:sz w:val="28"/>
          <w:szCs w:val="28"/>
        </w:rPr>
        <w:t>8</w:t>
      </w:r>
      <w:r>
        <w:rPr>
          <w:rFonts w:ascii="仿宋_GB2312" w:eastAsia="仿宋_GB2312" w:hAnsi="仿宋_GB2312" w:cs="仿宋_GB2312" w:hint="eastAsia"/>
          <w:color w:val="000000" w:themeColor="text1"/>
          <w:kern w:val="0"/>
          <w:sz w:val="28"/>
          <w:szCs w:val="28"/>
          <w:lang w:val="de-DE" w:eastAsia="de-DE"/>
        </w:rPr>
        <w:t>.垃圾输送系统的PLC编程调试</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lang w:val="de-DE"/>
        </w:rPr>
        <w:t>编写</w:t>
      </w:r>
      <w:r>
        <w:rPr>
          <w:rFonts w:ascii="仿宋_GB2312" w:eastAsia="仿宋_GB2312" w:hAnsi="仿宋_GB2312" w:cs="仿宋_GB2312" w:hint="eastAsia"/>
          <w:color w:val="000000" w:themeColor="text1"/>
          <w:kern w:val="0"/>
          <w:sz w:val="28"/>
          <w:szCs w:val="28"/>
        </w:rPr>
        <w:t>PLC程序，控制</w:t>
      </w:r>
      <w:r>
        <w:rPr>
          <w:rFonts w:ascii="仿宋_GB2312" w:eastAsia="仿宋_GB2312" w:hAnsi="仿宋_GB2312" w:cs="仿宋_GB2312" w:hint="eastAsia"/>
          <w:color w:val="000000" w:themeColor="text1"/>
          <w:kern w:val="0"/>
          <w:sz w:val="28"/>
          <w:szCs w:val="28"/>
          <w:lang w:val="de-DE" w:eastAsia="de-DE"/>
        </w:rPr>
        <w:t>垃圾输送系统</w:t>
      </w:r>
      <w:r>
        <w:rPr>
          <w:rFonts w:ascii="仿宋_GB2312" w:eastAsia="仿宋_GB2312" w:hAnsi="仿宋_GB2312" w:cs="仿宋_GB2312" w:hint="eastAsia"/>
          <w:color w:val="000000" w:themeColor="text1"/>
          <w:kern w:val="0"/>
          <w:sz w:val="28"/>
          <w:szCs w:val="28"/>
          <w:lang w:val="de-DE"/>
        </w:rPr>
        <w:t>的启动和停止。</w:t>
      </w:r>
    </w:p>
    <w:p w:rsidR="00F01006" w:rsidRDefault="00D42733">
      <w:pPr>
        <w:adjustRightInd w:val="0"/>
        <w:contextualSpacing/>
        <w:jc w:val="left"/>
        <w:outlineLvl w:val="0"/>
        <w:rPr>
          <w:rFonts w:ascii="仿宋_GB2312" w:eastAsia="仿宋_GB2312" w:hAnsi="仿宋_GB2312" w:cs="仿宋_GB2312"/>
          <w:b/>
          <w:bCs/>
          <w:color w:val="000000" w:themeColor="text1"/>
          <w:kern w:val="0"/>
          <w:sz w:val="28"/>
          <w:szCs w:val="28"/>
        </w:rPr>
      </w:pPr>
      <w:r>
        <w:rPr>
          <w:rFonts w:ascii="仿宋_GB2312" w:eastAsia="仿宋_GB2312" w:hAnsi="仿宋_GB2312" w:cs="仿宋_GB2312" w:hint="eastAsia"/>
          <w:b/>
          <w:bCs/>
          <w:color w:val="000000" w:themeColor="text1"/>
          <w:kern w:val="0"/>
          <w:sz w:val="28"/>
          <w:szCs w:val="28"/>
          <w:lang w:val="de-DE" w:eastAsia="de-DE"/>
        </w:rPr>
        <w:t>任务</w:t>
      </w:r>
      <w:r>
        <w:rPr>
          <w:rFonts w:ascii="仿宋_GB2312" w:eastAsia="仿宋_GB2312" w:hAnsi="仿宋_GB2312" w:cs="仿宋_GB2312" w:hint="eastAsia"/>
          <w:b/>
          <w:bCs/>
          <w:color w:val="000000" w:themeColor="text1"/>
          <w:kern w:val="0"/>
          <w:sz w:val="28"/>
          <w:szCs w:val="28"/>
          <w:lang w:val="de-DE"/>
        </w:rPr>
        <w:t>三</w:t>
      </w:r>
      <w:r>
        <w:rPr>
          <w:rFonts w:ascii="仿宋_GB2312" w:eastAsia="仿宋_GB2312" w:hAnsi="仿宋_GB2312" w:cs="仿宋_GB2312" w:hint="eastAsia"/>
          <w:b/>
          <w:bCs/>
          <w:color w:val="000000" w:themeColor="text1"/>
          <w:kern w:val="0"/>
          <w:sz w:val="28"/>
          <w:szCs w:val="28"/>
          <w:lang w:val="de-DE" w:eastAsia="de-DE"/>
        </w:rPr>
        <w:t>、系统编程与调试</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eastAsia="de-DE"/>
        </w:rPr>
      </w:pPr>
      <w:r>
        <w:rPr>
          <w:rFonts w:ascii="仿宋_GB2312" w:eastAsia="仿宋_GB2312" w:hAnsi="仿宋_GB2312" w:cs="仿宋_GB2312" w:hint="eastAsia"/>
          <w:color w:val="000000" w:themeColor="text1"/>
          <w:kern w:val="0"/>
          <w:sz w:val="28"/>
          <w:szCs w:val="28"/>
          <w:lang w:val="de-DE" w:eastAsia="de-DE"/>
        </w:rPr>
        <w:t>子任务</w:t>
      </w:r>
      <w:r>
        <w:rPr>
          <w:rFonts w:ascii="仿宋_GB2312" w:eastAsia="仿宋_GB2312" w:hAnsi="仿宋_GB2312" w:cs="仿宋_GB2312" w:hint="eastAsia"/>
          <w:color w:val="000000" w:themeColor="text1"/>
          <w:kern w:val="0"/>
          <w:sz w:val="28"/>
          <w:szCs w:val="28"/>
        </w:rPr>
        <w:t>1</w:t>
      </w:r>
      <w:r>
        <w:rPr>
          <w:rFonts w:ascii="仿宋_GB2312" w:eastAsia="仿宋_GB2312" w:hAnsi="仿宋_GB2312" w:cs="仿宋_GB2312" w:hint="eastAsia"/>
          <w:color w:val="000000" w:themeColor="text1"/>
          <w:kern w:val="0"/>
          <w:sz w:val="28"/>
          <w:szCs w:val="28"/>
          <w:lang w:val="de-DE" w:eastAsia="de-DE"/>
        </w:rPr>
        <w:t>.PC与PLC系统通讯的编程与调试</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lang w:val="de-DE"/>
        </w:rPr>
        <w:t>在</w:t>
      </w:r>
      <w:r>
        <w:rPr>
          <w:rFonts w:ascii="仿宋_GB2312" w:eastAsia="仿宋_GB2312" w:hAnsi="仿宋_GB2312" w:cs="仿宋_GB2312" w:hint="eastAsia"/>
          <w:color w:val="000000" w:themeColor="text1"/>
          <w:kern w:val="0"/>
          <w:sz w:val="28"/>
          <w:szCs w:val="28"/>
        </w:rPr>
        <w:t>PC机上编写程序，完成</w:t>
      </w:r>
      <w:r>
        <w:rPr>
          <w:rFonts w:ascii="仿宋_GB2312" w:eastAsia="仿宋_GB2312" w:hAnsi="仿宋_GB2312" w:cs="仿宋_GB2312" w:hint="eastAsia"/>
          <w:color w:val="000000" w:themeColor="text1"/>
          <w:kern w:val="0"/>
          <w:sz w:val="28"/>
          <w:szCs w:val="28"/>
          <w:lang w:val="de-DE" w:eastAsia="de-DE"/>
        </w:rPr>
        <w:t>PC与PLC系统通讯</w:t>
      </w:r>
      <w:r>
        <w:rPr>
          <w:rFonts w:ascii="仿宋_GB2312" w:eastAsia="仿宋_GB2312" w:hAnsi="仿宋_GB2312" w:cs="仿宋_GB2312" w:hint="eastAsia"/>
          <w:color w:val="000000" w:themeColor="text1"/>
          <w:kern w:val="0"/>
          <w:sz w:val="28"/>
          <w:szCs w:val="28"/>
          <w:lang w:val="de-DE"/>
        </w:rPr>
        <w:t>，在</w:t>
      </w:r>
      <w:r>
        <w:rPr>
          <w:rFonts w:ascii="仿宋_GB2312" w:eastAsia="仿宋_GB2312" w:hAnsi="仿宋_GB2312" w:cs="仿宋_GB2312" w:hint="eastAsia"/>
          <w:color w:val="000000" w:themeColor="text1"/>
          <w:kern w:val="0"/>
          <w:sz w:val="28"/>
          <w:szCs w:val="28"/>
        </w:rPr>
        <w:t>PC机上显示</w:t>
      </w:r>
      <w:r>
        <w:rPr>
          <w:rFonts w:ascii="仿宋_GB2312" w:eastAsia="仿宋_GB2312" w:hAnsi="仿宋_GB2312" w:cs="仿宋_GB2312" w:hint="eastAsia"/>
          <w:color w:val="000000" w:themeColor="text1"/>
          <w:kern w:val="0"/>
          <w:sz w:val="28"/>
          <w:szCs w:val="28"/>
        </w:rPr>
        <w:lastRenderedPageBreak/>
        <w:t>智能机器人及传送带的状态，并可以在PC机上向PLC发送命令，控制机器人和传送带。</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2.</w:t>
      </w:r>
      <w:r>
        <w:rPr>
          <w:rFonts w:ascii="仿宋_GB2312" w:eastAsia="仿宋_GB2312" w:hAnsi="仿宋_GB2312" w:cs="仿宋_GB2312" w:hint="eastAsia"/>
          <w:color w:val="000000" w:themeColor="text1"/>
          <w:kern w:val="0"/>
          <w:sz w:val="28"/>
          <w:szCs w:val="28"/>
          <w:lang w:val="de-DE"/>
        </w:rPr>
        <w:t>调试模式下单次命令系统运行</w:t>
      </w:r>
    </w:p>
    <w:p w:rsidR="00F01006" w:rsidRDefault="00D42733" w:rsidP="009E3F0C">
      <w:pPr>
        <w:adjustRightInd w:val="0"/>
        <w:ind w:firstLineChars="200" w:firstLine="560"/>
        <w:contextualSpacing/>
        <w:jc w:val="left"/>
        <w:rPr>
          <w:rFonts w:ascii="仿宋_GB2312" w:eastAsia="仿宋_GB2312" w:hAnsi="仿宋_GB2312" w:cs="仿宋_GB2312"/>
          <w:color w:val="000000" w:themeColor="text1"/>
          <w:kern w:val="0"/>
          <w:sz w:val="28"/>
          <w:szCs w:val="28"/>
        </w:rPr>
      </w:pPr>
      <w:r>
        <w:rPr>
          <w:rFonts w:ascii="仿宋_GB2312" w:eastAsia="仿宋_GB2312" w:hAnsi="仿宋_GB2312" w:cs="仿宋_GB2312" w:hint="eastAsia"/>
          <w:color w:val="000000" w:themeColor="text1"/>
          <w:kern w:val="0"/>
          <w:sz w:val="28"/>
          <w:szCs w:val="28"/>
        </w:rPr>
        <w:t>调试模式下，选手经过人脸识别认证后，通过语音下发指令“系统开始调试”，上料机器人随机抓取一块垃圾物料，传送带启动运行，传感器检测到达检测处，传送带停止运行，智能视觉系统进行检测，协作式机器人按类型进行分拣。分拣完毕后，各机器人回到初始状态。</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rPr>
      </w:pPr>
      <w:r>
        <w:rPr>
          <w:rFonts w:ascii="仿宋_GB2312" w:eastAsia="仿宋_GB2312" w:hAnsi="仿宋_GB2312" w:cs="仿宋_GB2312" w:hint="eastAsia"/>
          <w:color w:val="000000" w:themeColor="text1"/>
          <w:kern w:val="0"/>
          <w:sz w:val="28"/>
          <w:szCs w:val="28"/>
          <w:lang w:val="de-DE"/>
        </w:rPr>
        <w:t>子任务</w:t>
      </w:r>
      <w:r>
        <w:rPr>
          <w:rFonts w:ascii="仿宋_GB2312" w:eastAsia="仿宋_GB2312" w:hAnsi="仿宋_GB2312" w:cs="仿宋_GB2312" w:hint="eastAsia"/>
          <w:color w:val="000000" w:themeColor="text1"/>
          <w:kern w:val="0"/>
          <w:sz w:val="28"/>
          <w:szCs w:val="28"/>
        </w:rPr>
        <w:t>3.</w:t>
      </w:r>
      <w:r>
        <w:rPr>
          <w:rFonts w:ascii="仿宋_GB2312" w:eastAsia="仿宋_GB2312" w:hAnsi="仿宋_GB2312" w:cs="仿宋_GB2312" w:hint="eastAsia"/>
          <w:color w:val="000000" w:themeColor="text1"/>
          <w:kern w:val="0"/>
          <w:sz w:val="28"/>
          <w:szCs w:val="28"/>
          <w:lang w:val="de-DE"/>
        </w:rPr>
        <w:t>自动模式下连续分拣系统运行</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sz w:val="28"/>
          <w:szCs w:val="28"/>
          <w:lang w:val="de-DE"/>
        </w:rPr>
      </w:pPr>
      <w:r>
        <w:rPr>
          <w:rFonts w:ascii="仿宋_GB2312" w:eastAsia="仿宋_GB2312" w:hAnsi="仿宋_GB2312" w:cs="仿宋_GB2312" w:hint="eastAsia"/>
          <w:color w:val="000000" w:themeColor="text1"/>
          <w:kern w:val="0"/>
          <w:sz w:val="28"/>
          <w:szCs w:val="28"/>
          <w:lang w:val="de-DE"/>
        </w:rPr>
        <w:t>自动模式下，选手经过人脸识别认证后，通过语音下发指令“系统开始运行”，系统连续分拣系统运行，只到随机码放垃圾物料全部被分拣完毕。</w:t>
      </w:r>
    </w:p>
    <w:p w:rsidR="00F01006" w:rsidRDefault="00D42733">
      <w:pPr>
        <w:adjustRightInd w:val="0"/>
        <w:ind w:firstLineChars="200" w:firstLine="562"/>
        <w:contextualSpacing/>
        <w:jc w:val="left"/>
        <w:outlineLvl w:val="0"/>
        <w:rPr>
          <w:rFonts w:ascii="仿宋_GB2312" w:eastAsia="仿宋_GB2312" w:hAnsi="仿宋_GB2312" w:cs="仿宋_GB2312"/>
          <w:b/>
          <w:bCs/>
          <w:color w:val="000000" w:themeColor="text1"/>
          <w:kern w:val="0"/>
          <w:sz w:val="28"/>
          <w:szCs w:val="28"/>
        </w:rPr>
      </w:pPr>
      <w:r>
        <w:rPr>
          <w:rFonts w:ascii="仿宋_GB2312" w:eastAsia="仿宋_GB2312" w:hAnsi="仿宋_GB2312" w:cs="仿宋_GB2312" w:hint="eastAsia"/>
          <w:b/>
          <w:bCs/>
          <w:color w:val="000000" w:themeColor="text1"/>
          <w:kern w:val="0"/>
          <w:sz w:val="28"/>
          <w:szCs w:val="28"/>
          <w:lang w:val="de-DE" w:eastAsia="de-DE"/>
        </w:rPr>
        <w:t>任务</w:t>
      </w:r>
      <w:r>
        <w:rPr>
          <w:rFonts w:ascii="仿宋_GB2312" w:eastAsia="仿宋_GB2312" w:hAnsi="仿宋_GB2312" w:cs="仿宋_GB2312" w:hint="eastAsia"/>
          <w:b/>
          <w:bCs/>
          <w:color w:val="000000" w:themeColor="text1"/>
          <w:kern w:val="0"/>
          <w:sz w:val="28"/>
          <w:szCs w:val="28"/>
          <w:lang w:val="de-DE"/>
        </w:rPr>
        <w:t>四</w:t>
      </w:r>
      <w:r>
        <w:rPr>
          <w:rFonts w:ascii="仿宋_GB2312" w:eastAsia="仿宋_GB2312" w:hAnsi="仿宋_GB2312" w:cs="仿宋_GB2312" w:hint="eastAsia"/>
          <w:b/>
          <w:bCs/>
          <w:color w:val="000000" w:themeColor="text1"/>
          <w:kern w:val="0"/>
          <w:sz w:val="28"/>
          <w:szCs w:val="28"/>
          <w:lang w:val="de-DE" w:eastAsia="de-DE"/>
        </w:rPr>
        <w:t>、</w:t>
      </w:r>
      <w:r>
        <w:rPr>
          <w:rFonts w:ascii="仿宋_GB2312" w:eastAsia="仿宋_GB2312" w:hAnsi="仿宋_GB2312" w:cs="仿宋_GB2312" w:hint="eastAsia"/>
          <w:b/>
          <w:bCs/>
          <w:color w:val="000000" w:themeColor="text1"/>
          <w:kern w:val="0"/>
          <w:sz w:val="28"/>
          <w:szCs w:val="28"/>
          <w:lang w:val="de-DE"/>
        </w:rPr>
        <w:t>系统运行结果</w:t>
      </w:r>
    </w:p>
    <w:p w:rsidR="00F01006" w:rsidRDefault="00D42733">
      <w:pPr>
        <w:adjustRightInd w:val="0"/>
        <w:ind w:firstLineChars="200" w:firstLine="560"/>
        <w:contextualSpacing/>
        <w:jc w:val="left"/>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sz w:val="28"/>
          <w:szCs w:val="28"/>
          <w:lang w:val="de-DE"/>
        </w:rPr>
        <w:t>在</w:t>
      </w:r>
      <w:r>
        <w:rPr>
          <w:rFonts w:ascii="仿宋_GB2312" w:eastAsia="仿宋_GB2312" w:hAnsi="仿宋_GB2312" w:cs="仿宋_GB2312" w:hint="eastAsia"/>
          <w:color w:val="000000" w:themeColor="text1"/>
          <w:kern w:val="0"/>
          <w:sz w:val="28"/>
          <w:szCs w:val="28"/>
        </w:rPr>
        <w:t>10分钟内，考察</w:t>
      </w:r>
      <w:r>
        <w:rPr>
          <w:rFonts w:ascii="仿宋_GB2312" w:eastAsia="仿宋_GB2312" w:hAnsi="仿宋_GB2312" w:cs="仿宋_GB2312" w:hint="eastAsia"/>
          <w:color w:val="000000" w:themeColor="text1"/>
          <w:kern w:val="0"/>
          <w:sz w:val="28"/>
          <w:szCs w:val="28"/>
          <w:lang w:val="de-DE"/>
        </w:rPr>
        <w:t>智能协作机械臂分拣垃圾的准确率， 完成所有分拣任务的时间效率。</w:t>
      </w:r>
    </w:p>
    <w:tbl>
      <w:tblPr>
        <w:tblW w:w="8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539"/>
        <w:gridCol w:w="1701"/>
        <w:gridCol w:w="1275"/>
        <w:gridCol w:w="29"/>
        <w:gridCol w:w="1276"/>
        <w:gridCol w:w="1670"/>
      </w:tblGrid>
      <w:tr w:rsidR="00F01006">
        <w:trPr>
          <w:trHeight w:val="510"/>
        </w:trPr>
        <w:tc>
          <w:tcPr>
            <w:tcW w:w="8191" w:type="dxa"/>
            <w:gridSpan w:val="7"/>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垃圾分拣搬运情况得分</w:t>
            </w:r>
          </w:p>
        </w:tc>
      </w:tr>
      <w:tr w:rsidR="00F01006">
        <w:trPr>
          <w:trHeight w:val="510"/>
        </w:trPr>
        <w:tc>
          <w:tcPr>
            <w:tcW w:w="1701" w:type="dxa"/>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项目</w:t>
            </w:r>
          </w:p>
        </w:tc>
        <w:tc>
          <w:tcPr>
            <w:tcW w:w="2240" w:type="dxa"/>
            <w:gridSpan w:val="2"/>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搬运数量(个)</w:t>
            </w:r>
          </w:p>
        </w:tc>
        <w:tc>
          <w:tcPr>
            <w:tcW w:w="2580" w:type="dxa"/>
            <w:gridSpan w:val="3"/>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得分（个）</w:t>
            </w:r>
          </w:p>
        </w:tc>
        <w:tc>
          <w:tcPr>
            <w:tcW w:w="1670" w:type="dxa"/>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搬运总得分</w:t>
            </w:r>
          </w:p>
        </w:tc>
      </w:tr>
      <w:tr w:rsidR="00F01006">
        <w:trPr>
          <w:trHeight w:val="510"/>
        </w:trPr>
        <w:tc>
          <w:tcPr>
            <w:tcW w:w="1701" w:type="dxa"/>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上料准确计分&amp;数量</w:t>
            </w:r>
          </w:p>
        </w:tc>
        <w:tc>
          <w:tcPr>
            <w:tcW w:w="2240" w:type="dxa"/>
            <w:gridSpan w:val="2"/>
            <w:tcBorders>
              <w:left w:val="single" w:sz="4" w:space="0" w:color="auto"/>
              <w:righ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2580" w:type="dxa"/>
            <w:gridSpan w:val="3"/>
            <w:tcBorders>
              <w:bottom w:val="single" w:sz="4" w:space="0" w:color="000000"/>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rPr>
            </w:pPr>
            <w:r>
              <w:rPr>
                <w:rFonts w:ascii="仿宋_GB2312" w:eastAsia="仿宋_GB2312" w:hAnsi="仿宋_GB2312" w:cs="仿宋_GB2312" w:hint="eastAsia"/>
                <w:color w:val="000000" w:themeColor="text1"/>
                <w:kern w:val="0"/>
              </w:rPr>
              <w:t>0.5</w:t>
            </w:r>
          </w:p>
        </w:tc>
        <w:tc>
          <w:tcPr>
            <w:tcW w:w="1670" w:type="dxa"/>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r>
      <w:tr w:rsidR="00F01006">
        <w:trPr>
          <w:trHeight w:val="510"/>
        </w:trPr>
        <w:tc>
          <w:tcPr>
            <w:tcW w:w="8191" w:type="dxa"/>
            <w:gridSpan w:val="7"/>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垃圾分拣得分</w:t>
            </w:r>
          </w:p>
        </w:tc>
      </w:tr>
      <w:tr w:rsidR="00F01006">
        <w:trPr>
          <w:trHeight w:val="510"/>
        </w:trPr>
        <w:tc>
          <w:tcPr>
            <w:tcW w:w="1701" w:type="dxa"/>
            <w:tcBorders>
              <w:lef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垃圾物料</w:t>
            </w:r>
          </w:p>
        </w:tc>
        <w:tc>
          <w:tcPr>
            <w:tcW w:w="2240" w:type="dxa"/>
            <w:gridSpan w:val="2"/>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有效分拣数量(个)</w:t>
            </w:r>
          </w:p>
        </w:tc>
        <w:tc>
          <w:tcPr>
            <w:tcW w:w="1304" w:type="dxa"/>
            <w:gridSpan w:val="2"/>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得分（个）</w:t>
            </w:r>
          </w:p>
        </w:tc>
        <w:tc>
          <w:tcPr>
            <w:tcW w:w="1276" w:type="dxa"/>
            <w:tcBorders>
              <w:lef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得分小计</w:t>
            </w:r>
          </w:p>
        </w:tc>
        <w:tc>
          <w:tcPr>
            <w:tcW w:w="1670" w:type="dxa"/>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错误分拣扣分</w:t>
            </w:r>
          </w:p>
        </w:tc>
      </w:tr>
      <w:tr w:rsidR="00F01006">
        <w:trPr>
          <w:trHeight w:val="510"/>
        </w:trPr>
        <w:tc>
          <w:tcPr>
            <w:tcW w:w="1701" w:type="dxa"/>
            <w:tcBorders>
              <w:lef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可回收垃圾</w:t>
            </w:r>
          </w:p>
        </w:tc>
        <w:tc>
          <w:tcPr>
            <w:tcW w:w="2240" w:type="dxa"/>
            <w:gridSpan w:val="2"/>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304" w:type="dxa"/>
            <w:gridSpan w:val="2"/>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1</w:t>
            </w:r>
          </w:p>
        </w:tc>
        <w:tc>
          <w:tcPr>
            <w:tcW w:w="1276" w:type="dxa"/>
            <w:tcBorders>
              <w:lef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670" w:type="dxa"/>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r>
      <w:tr w:rsidR="00F01006">
        <w:trPr>
          <w:trHeight w:val="510"/>
        </w:trPr>
        <w:tc>
          <w:tcPr>
            <w:tcW w:w="1701" w:type="dxa"/>
            <w:tcBorders>
              <w:lef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其它（干垃圾）</w:t>
            </w:r>
          </w:p>
        </w:tc>
        <w:tc>
          <w:tcPr>
            <w:tcW w:w="2240" w:type="dxa"/>
            <w:gridSpan w:val="2"/>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304" w:type="dxa"/>
            <w:gridSpan w:val="2"/>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1</w:t>
            </w:r>
          </w:p>
        </w:tc>
        <w:tc>
          <w:tcPr>
            <w:tcW w:w="1276" w:type="dxa"/>
            <w:tcBorders>
              <w:lef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670" w:type="dxa"/>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r>
      <w:tr w:rsidR="00F01006">
        <w:trPr>
          <w:trHeight w:val="510"/>
        </w:trPr>
        <w:tc>
          <w:tcPr>
            <w:tcW w:w="1701" w:type="dxa"/>
            <w:tcBorders>
              <w:lef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厨余（湿垃圾）</w:t>
            </w:r>
          </w:p>
        </w:tc>
        <w:tc>
          <w:tcPr>
            <w:tcW w:w="2240" w:type="dxa"/>
            <w:gridSpan w:val="2"/>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304" w:type="dxa"/>
            <w:gridSpan w:val="2"/>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1</w:t>
            </w:r>
          </w:p>
        </w:tc>
        <w:tc>
          <w:tcPr>
            <w:tcW w:w="1276" w:type="dxa"/>
            <w:tcBorders>
              <w:lef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670" w:type="dxa"/>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r>
      <w:tr w:rsidR="00F01006">
        <w:trPr>
          <w:trHeight w:val="510"/>
        </w:trPr>
        <w:tc>
          <w:tcPr>
            <w:tcW w:w="1701" w:type="dxa"/>
            <w:tcBorders>
              <w:lef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lastRenderedPageBreak/>
              <w:t>有害垃圾</w:t>
            </w:r>
          </w:p>
        </w:tc>
        <w:tc>
          <w:tcPr>
            <w:tcW w:w="2240" w:type="dxa"/>
            <w:gridSpan w:val="2"/>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304" w:type="dxa"/>
            <w:gridSpan w:val="2"/>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rPr>
              <w:t>1</w:t>
            </w:r>
          </w:p>
        </w:tc>
        <w:tc>
          <w:tcPr>
            <w:tcW w:w="1276" w:type="dxa"/>
            <w:tcBorders>
              <w:lef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670" w:type="dxa"/>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r>
      <w:tr w:rsidR="00F01006">
        <w:trPr>
          <w:trHeight w:val="510"/>
        </w:trPr>
        <w:tc>
          <w:tcPr>
            <w:tcW w:w="2240" w:type="dxa"/>
            <w:gridSpan w:val="2"/>
            <w:vMerge w:val="restart"/>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得分汇总</w:t>
            </w:r>
          </w:p>
        </w:tc>
        <w:tc>
          <w:tcPr>
            <w:tcW w:w="1701" w:type="dxa"/>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上料搬运得分</w:t>
            </w:r>
          </w:p>
        </w:tc>
        <w:tc>
          <w:tcPr>
            <w:tcW w:w="1275" w:type="dxa"/>
            <w:tcBorders>
              <w:left w:val="single" w:sz="4" w:space="0" w:color="auto"/>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分拣正确得分</w:t>
            </w:r>
          </w:p>
        </w:tc>
        <w:tc>
          <w:tcPr>
            <w:tcW w:w="1305" w:type="dxa"/>
            <w:gridSpan w:val="2"/>
            <w:tcBorders>
              <w:lef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错误分拣扣分</w:t>
            </w:r>
          </w:p>
        </w:tc>
        <w:tc>
          <w:tcPr>
            <w:tcW w:w="1670" w:type="dxa"/>
            <w:tcBorders>
              <w:right w:val="single" w:sz="4" w:space="0" w:color="auto"/>
            </w:tcBorders>
            <w:vAlign w:val="center"/>
          </w:tcPr>
          <w:p w:rsidR="00F01006" w:rsidRDefault="00D42733"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r>
              <w:rPr>
                <w:rFonts w:ascii="仿宋_GB2312" w:eastAsia="仿宋_GB2312" w:hAnsi="仿宋_GB2312" w:cs="仿宋_GB2312" w:hint="eastAsia"/>
                <w:color w:val="000000" w:themeColor="text1"/>
                <w:kern w:val="0"/>
                <w:lang w:val="de-DE"/>
              </w:rPr>
              <w:t>总成绩</w:t>
            </w:r>
          </w:p>
        </w:tc>
      </w:tr>
      <w:tr w:rsidR="00F01006">
        <w:trPr>
          <w:trHeight w:val="510"/>
        </w:trPr>
        <w:tc>
          <w:tcPr>
            <w:tcW w:w="2240" w:type="dxa"/>
            <w:gridSpan w:val="2"/>
            <w:vMerge/>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701" w:type="dxa"/>
            <w:tcBorders>
              <w:righ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275" w:type="dxa"/>
            <w:tcBorders>
              <w:left w:val="single" w:sz="4" w:space="0" w:color="auto"/>
              <w:righ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305" w:type="dxa"/>
            <w:gridSpan w:val="2"/>
            <w:tcBorders>
              <w:lef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c>
          <w:tcPr>
            <w:tcW w:w="1670" w:type="dxa"/>
            <w:tcBorders>
              <w:right w:val="single" w:sz="4" w:space="0" w:color="auto"/>
            </w:tcBorders>
            <w:vAlign w:val="center"/>
          </w:tcPr>
          <w:p w:rsidR="00F01006" w:rsidRDefault="00F01006" w:rsidP="00995E9E">
            <w:pPr>
              <w:kinsoku w:val="0"/>
              <w:overflowPunct w:val="0"/>
              <w:autoSpaceDN w:val="0"/>
              <w:adjustRightInd w:val="0"/>
              <w:snapToGrid w:val="0"/>
              <w:spacing w:beforeLines="50" w:line="360" w:lineRule="auto"/>
              <w:jc w:val="center"/>
              <w:rPr>
                <w:rFonts w:ascii="仿宋_GB2312" w:eastAsia="仿宋_GB2312" w:hAnsi="仿宋_GB2312" w:cs="仿宋_GB2312"/>
                <w:color w:val="000000" w:themeColor="text1"/>
                <w:kern w:val="0"/>
                <w:lang w:val="de-DE"/>
              </w:rPr>
            </w:pPr>
          </w:p>
        </w:tc>
      </w:tr>
      <w:tr w:rsidR="00F01006">
        <w:trPr>
          <w:trHeight w:val="510"/>
        </w:trPr>
        <w:tc>
          <w:tcPr>
            <w:tcW w:w="8191" w:type="dxa"/>
            <w:gridSpan w:val="7"/>
            <w:shd w:val="clear" w:color="auto" w:fill="F2F2F2"/>
            <w:vAlign w:val="center"/>
          </w:tcPr>
          <w:p w:rsidR="00F01006" w:rsidRDefault="00D42733">
            <w:pPr>
              <w:jc w:val="left"/>
              <w:rPr>
                <w:rFonts w:ascii="仿宋" w:eastAsia="仿宋" w:hAnsi="仿宋"/>
                <w:color w:val="000000" w:themeColor="text1"/>
                <w:szCs w:val="40"/>
              </w:rPr>
            </w:pPr>
            <w:r>
              <w:rPr>
                <w:rFonts w:ascii="仿宋" w:eastAsia="仿宋" w:hAnsi="仿宋" w:hint="eastAsia"/>
                <w:color w:val="000000" w:themeColor="text1"/>
                <w:szCs w:val="40"/>
              </w:rPr>
              <w:t>赛前给选手补充说明以下规则：</w:t>
            </w:r>
          </w:p>
          <w:p w:rsidR="00F01006" w:rsidRDefault="00D42733">
            <w:pPr>
              <w:jc w:val="left"/>
              <w:rPr>
                <w:rFonts w:ascii="仿宋" w:eastAsia="仿宋" w:hAnsi="仿宋"/>
                <w:color w:val="000000" w:themeColor="text1"/>
                <w:szCs w:val="40"/>
              </w:rPr>
            </w:pPr>
            <w:r>
              <w:rPr>
                <w:rFonts w:ascii="仿宋" w:eastAsia="仿宋" w:hAnsi="仿宋"/>
                <w:color w:val="000000" w:themeColor="text1"/>
                <w:szCs w:val="40"/>
              </w:rPr>
              <w:t>1.</w:t>
            </w:r>
            <w:r>
              <w:rPr>
                <w:rFonts w:ascii="仿宋" w:eastAsia="仿宋" w:hAnsi="仿宋" w:hint="eastAsia"/>
                <w:color w:val="000000" w:themeColor="text1"/>
                <w:szCs w:val="40"/>
              </w:rPr>
              <w:t>当机械臂在前2分钟内出现故障不能正常完成比赛任务时，可向裁判申请唯一一次5钟调试的机会；</w:t>
            </w:r>
          </w:p>
          <w:p w:rsidR="00F01006" w:rsidRDefault="00D42733">
            <w:pPr>
              <w:jc w:val="left"/>
              <w:rPr>
                <w:rFonts w:ascii="仿宋" w:eastAsia="仿宋" w:hAnsi="仿宋"/>
                <w:color w:val="000000" w:themeColor="text1"/>
                <w:szCs w:val="40"/>
              </w:rPr>
            </w:pPr>
            <w:r>
              <w:rPr>
                <w:rFonts w:ascii="仿宋" w:eastAsia="仿宋" w:hAnsi="仿宋"/>
                <w:color w:val="000000" w:themeColor="text1"/>
                <w:szCs w:val="40"/>
              </w:rPr>
              <w:t>2.</w:t>
            </w:r>
            <w:r>
              <w:rPr>
                <w:rFonts w:ascii="仿宋" w:eastAsia="仿宋" w:hAnsi="仿宋" w:hint="eastAsia"/>
                <w:color w:val="000000" w:themeColor="text1"/>
                <w:szCs w:val="40"/>
              </w:rPr>
              <w:t>现场比赛时以裁判判罚为准；</w:t>
            </w:r>
          </w:p>
          <w:p w:rsidR="00F01006" w:rsidRDefault="00D42733">
            <w:pPr>
              <w:rPr>
                <w:rFonts w:ascii="仿宋" w:eastAsia="仿宋" w:hAnsi="仿宋"/>
                <w:b/>
                <w:color w:val="000000" w:themeColor="text1"/>
                <w:szCs w:val="40"/>
              </w:rPr>
            </w:pPr>
            <w:r>
              <w:rPr>
                <w:rFonts w:ascii="仿宋" w:eastAsia="仿宋" w:hAnsi="仿宋"/>
                <w:color w:val="000000" w:themeColor="text1"/>
                <w:szCs w:val="40"/>
              </w:rPr>
              <w:t>3.</w:t>
            </w:r>
            <w:r>
              <w:rPr>
                <w:rFonts w:ascii="仿宋" w:eastAsia="仿宋" w:hAnsi="仿宋" w:hint="eastAsia"/>
                <w:color w:val="000000" w:themeColor="text1"/>
                <w:szCs w:val="40"/>
              </w:rPr>
              <w:t>总分相同，调试时间短者胜；</w:t>
            </w:r>
          </w:p>
        </w:tc>
      </w:tr>
    </w:tbl>
    <w:p w:rsidR="00F01006" w:rsidRDefault="00F01006">
      <w:pPr>
        <w:contextualSpacing/>
      </w:pPr>
    </w:p>
    <w:p w:rsidR="00F01006" w:rsidRDefault="00F01006">
      <w:pPr>
        <w:snapToGrid w:val="0"/>
        <w:spacing w:line="560" w:lineRule="exact"/>
        <w:rPr>
          <w:rFonts w:ascii="仿宋_GB2312" w:eastAsia="仿宋_GB2312" w:hAnsi="仿宋_GB2312" w:cs="仿宋_GB2312"/>
          <w:b/>
          <w:kern w:val="0"/>
          <w:sz w:val="30"/>
          <w:szCs w:val="30"/>
        </w:rPr>
      </w:pPr>
    </w:p>
    <w:sectPr w:rsidR="00F01006" w:rsidSect="00F01006">
      <w:footerReference w:type="default" r:id="rId24"/>
      <w:footerReference w:type="first" r:id="rId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C7B" w:rsidRDefault="00553C7B" w:rsidP="00F01006">
      <w:r>
        <w:separator/>
      </w:r>
    </w:p>
  </w:endnote>
  <w:endnote w:type="continuationSeparator" w:id="1">
    <w:p w:rsidR="00553C7B" w:rsidRDefault="00553C7B" w:rsidP="00F010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Narrow">
    <w:altName w:val="Arial"/>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006" w:rsidRDefault="005C3A25">
    <w:pPr>
      <w:pStyle w:val="a4"/>
    </w:pPr>
    <w:r>
      <w:pict>
        <v:shapetype id="_x0000_t202" coordsize="21600,21600" o:spt="202" path="m,l,21600r21600,l21600,xe">
          <v:stroke joinstyle="miter"/>
          <v:path gradientshapeok="t" o:connecttype="rect"/>
        </v:shapetype>
        <v:shape id="文本框 5" o:spid="_x0000_s1027" type="#_x0000_t202" style="position:absolute;margin-left:0;margin-top:0;width:2in;height:2in;z-index:251660288;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GmCS9MAAAAFAQAADwAAAAAAAAABACAAAAAiAAAAZHJzL2Rvd25yZXYueG1sUEsBAhQAFAAAAAgA&#10;h07iQBqoUS+4AQAAVQMAAA4AAAAAAAAAAQAgAAAAIgEAAGRycy9lMm9Eb2MueG1sUEsFBgAAAAAG&#10;AAYAWQEAAEwFAAAAAA==&#10;" filled="f" stroked="f" strokeweight="1.25pt">
          <v:textbox style="mso-fit-shape-to-text:t" inset="0,0,0,0">
            <w:txbxContent>
              <w:p w:rsidR="00F01006" w:rsidRDefault="005C3A25">
                <w:pPr>
                  <w:pStyle w:val="a4"/>
                  <w:rPr>
                    <w:rFonts w:eastAsia="宋体"/>
                  </w:rPr>
                </w:pPr>
                <w:r>
                  <w:rPr>
                    <w:rFonts w:hint="eastAsia"/>
                  </w:rPr>
                  <w:fldChar w:fldCharType="begin"/>
                </w:r>
                <w:r w:rsidR="00D42733">
                  <w:rPr>
                    <w:rFonts w:hint="eastAsia"/>
                  </w:rPr>
                  <w:instrText xml:space="preserve"> PAGE  \* MERGEFORMAT </w:instrText>
                </w:r>
                <w:r>
                  <w:rPr>
                    <w:rFonts w:hint="eastAsia"/>
                  </w:rPr>
                  <w:fldChar w:fldCharType="separate"/>
                </w:r>
                <w:r w:rsidR="00995E9E">
                  <w:rPr>
                    <w:noProof/>
                  </w:rPr>
                  <w:t>2</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006" w:rsidRDefault="005C3A25">
    <w:pPr>
      <w:pStyle w:val="a4"/>
    </w:pPr>
    <w:r>
      <w:pict>
        <v:shapetype id="_x0000_t202" coordsize="21600,21600" o:spt="202" path="m,l,21600r21600,l21600,xe">
          <v:stroke joinstyle="miter"/>
          <v:path gradientshapeok="t" o:connecttype="rect"/>
        </v:shapetype>
        <v:shape id="文本框 6" o:spid="_x0000_s1026" type="#_x0000_t202" style="position:absolute;margin-left:0;margin-top:0;width:2in;height:2in;z-index:251661312;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P9mZ7cBAABVAwAADgAAAAAAAAABACAAAAAiAQAAZHJzL2Uyb0RvYy54bWxQSwUGAAAAAAYA&#10;BgBZAQAASwUAAAAA&#10;" filled="f" stroked="f" strokeweight="1.25pt">
          <v:textbox style="mso-fit-shape-to-text:t" inset="0,0,0,0">
            <w:txbxContent>
              <w:p w:rsidR="00F01006" w:rsidRDefault="005C3A25">
                <w:pPr>
                  <w:pStyle w:val="a4"/>
                  <w:rPr>
                    <w:rFonts w:eastAsia="宋体"/>
                  </w:rPr>
                </w:pPr>
                <w:r>
                  <w:rPr>
                    <w:rFonts w:hint="eastAsia"/>
                  </w:rPr>
                  <w:fldChar w:fldCharType="begin"/>
                </w:r>
                <w:r w:rsidR="00D42733">
                  <w:rPr>
                    <w:rFonts w:hint="eastAsia"/>
                  </w:rPr>
                  <w:instrText xml:space="preserve"> PAGE  \* MERGEFORMAT </w:instrText>
                </w:r>
                <w:r>
                  <w:rPr>
                    <w:rFonts w:hint="eastAsia"/>
                  </w:rPr>
                  <w:fldChar w:fldCharType="separate"/>
                </w:r>
                <w:r w:rsidR="00D42733">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C7B" w:rsidRDefault="00553C7B" w:rsidP="00F01006">
      <w:r>
        <w:separator/>
      </w:r>
    </w:p>
  </w:footnote>
  <w:footnote w:type="continuationSeparator" w:id="1">
    <w:p w:rsidR="00553C7B" w:rsidRDefault="00553C7B" w:rsidP="00F010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056BD8"/>
    <w:multiLevelType w:val="singleLevel"/>
    <w:tmpl w:val="D8056BD8"/>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359DB"/>
    <w:rsid w:val="0017641F"/>
    <w:rsid w:val="001D71D3"/>
    <w:rsid w:val="002251A6"/>
    <w:rsid w:val="0025556E"/>
    <w:rsid w:val="00353335"/>
    <w:rsid w:val="00406DC0"/>
    <w:rsid w:val="00553C7B"/>
    <w:rsid w:val="00570AB4"/>
    <w:rsid w:val="005C3A25"/>
    <w:rsid w:val="00773F16"/>
    <w:rsid w:val="007B01C5"/>
    <w:rsid w:val="008766EE"/>
    <w:rsid w:val="008E524D"/>
    <w:rsid w:val="009228CE"/>
    <w:rsid w:val="00990A87"/>
    <w:rsid w:val="00995E9E"/>
    <w:rsid w:val="009A4A35"/>
    <w:rsid w:val="009E3F0C"/>
    <w:rsid w:val="00A633CD"/>
    <w:rsid w:val="00B717DA"/>
    <w:rsid w:val="00D42733"/>
    <w:rsid w:val="00D457E6"/>
    <w:rsid w:val="00DB0BF4"/>
    <w:rsid w:val="00DD03C1"/>
    <w:rsid w:val="00DD1CAB"/>
    <w:rsid w:val="00DF5C0B"/>
    <w:rsid w:val="00E42E3B"/>
    <w:rsid w:val="00E735CD"/>
    <w:rsid w:val="00F01006"/>
    <w:rsid w:val="00F76572"/>
    <w:rsid w:val="00FE4A80"/>
    <w:rsid w:val="00FE59E1"/>
    <w:rsid w:val="23E00EF6"/>
    <w:rsid w:val="2F1F07C0"/>
    <w:rsid w:val="468606E7"/>
    <w:rsid w:val="635568C3"/>
    <w:rsid w:val="72DB6211"/>
    <w:rsid w:val="786E15BF"/>
    <w:rsid w:val="7C4E2C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qFormat="1"/>
    <w:lsdException w:name="footer" w:semiHidden="0" w:uiPriority="0" w:unhideWhenUsed="0" w:qFormat="1"/>
    <w:lsdException w:name="caption" w:uiPriority="35" w:qFormat="1"/>
    <w:lsdException w:name="annotation reference" w:uiPriority="0" w:unhideWhenUsed="0" w:qFormat="1"/>
    <w:lsdException w:name="Title" w:semiHidden="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06"/>
    <w:pPr>
      <w:widowControl w:val="0"/>
      <w:jc w:val="both"/>
    </w:pPr>
    <w:rPr>
      <w:rFonts w:ascii="Calibri" w:eastAsia="宋体" w:hAnsi="Calibri" w:cs="Times New Roman"/>
      <w:kern w:val="2"/>
      <w:sz w:val="21"/>
      <w:szCs w:val="24"/>
    </w:rPr>
  </w:style>
  <w:style w:type="paragraph" w:styleId="2">
    <w:name w:val="heading 2"/>
    <w:basedOn w:val="a"/>
    <w:next w:val="a"/>
    <w:uiPriority w:val="9"/>
    <w:semiHidden/>
    <w:unhideWhenUsed/>
    <w:qFormat/>
    <w:rsid w:val="00F0100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9"/>
    <w:qFormat/>
    <w:rsid w:val="00F01006"/>
    <w:pPr>
      <w:keepNext/>
      <w:keepLines/>
      <w:widowControl/>
      <w:spacing w:line="560" w:lineRule="exact"/>
      <w:ind w:firstLineChars="200" w:firstLine="628"/>
      <w:jc w:val="left"/>
      <w:outlineLvl w:val="2"/>
    </w:pPr>
    <w:rPr>
      <w:rFonts w:ascii="仿宋" w:eastAsia="仿宋_GB2312" w:hAnsi="仿宋"/>
      <w:bCs/>
      <w:w w:val="105"/>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F01006"/>
    <w:rPr>
      <w:sz w:val="20"/>
      <w:szCs w:val="20"/>
    </w:rPr>
  </w:style>
  <w:style w:type="paragraph" w:styleId="a4">
    <w:name w:val="footer"/>
    <w:basedOn w:val="a"/>
    <w:link w:val="Char1"/>
    <w:qFormat/>
    <w:rsid w:val="00F01006"/>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semiHidden/>
    <w:unhideWhenUsed/>
    <w:qFormat/>
    <w:rsid w:val="00F01006"/>
    <w:pPr>
      <w:pBdr>
        <w:bottom w:val="single" w:sz="6" w:space="1" w:color="auto"/>
      </w:pBdr>
      <w:tabs>
        <w:tab w:val="center" w:pos="4153"/>
        <w:tab w:val="right" w:pos="8306"/>
      </w:tabs>
      <w:snapToGrid w:val="0"/>
      <w:jc w:val="center"/>
    </w:pPr>
    <w:rPr>
      <w:sz w:val="18"/>
      <w:szCs w:val="18"/>
    </w:rPr>
  </w:style>
  <w:style w:type="paragraph" w:styleId="a6">
    <w:name w:val="Title"/>
    <w:basedOn w:val="a"/>
    <w:next w:val="a"/>
    <w:uiPriority w:val="99"/>
    <w:qFormat/>
    <w:rsid w:val="00F01006"/>
    <w:pPr>
      <w:widowControl/>
      <w:jc w:val="center"/>
    </w:pPr>
    <w:rPr>
      <w:rFonts w:ascii="Times New Roman" w:eastAsia="黑体" w:hAnsi="Times New Roman"/>
      <w:bCs/>
      <w:sz w:val="32"/>
      <w:szCs w:val="32"/>
    </w:rPr>
  </w:style>
  <w:style w:type="character" w:styleId="a7">
    <w:name w:val="Hyperlink"/>
    <w:basedOn w:val="a0"/>
    <w:uiPriority w:val="99"/>
    <w:semiHidden/>
    <w:unhideWhenUsed/>
    <w:qFormat/>
    <w:rsid w:val="00F01006"/>
    <w:rPr>
      <w:color w:val="0000FF"/>
      <w:u w:val="single"/>
    </w:rPr>
  </w:style>
  <w:style w:type="character" w:styleId="a8">
    <w:name w:val="annotation reference"/>
    <w:semiHidden/>
    <w:qFormat/>
    <w:rsid w:val="00F01006"/>
    <w:rPr>
      <w:sz w:val="21"/>
      <w:szCs w:val="21"/>
    </w:rPr>
  </w:style>
  <w:style w:type="character" w:customStyle="1" w:styleId="Char2">
    <w:name w:val="页脚 Char"/>
    <w:link w:val="a4"/>
    <w:qFormat/>
    <w:rsid w:val="00F01006"/>
    <w:rPr>
      <w:sz w:val="18"/>
      <w:szCs w:val="18"/>
    </w:rPr>
  </w:style>
  <w:style w:type="character" w:customStyle="1" w:styleId="Char">
    <w:name w:val="批注文字 Char"/>
    <w:basedOn w:val="a0"/>
    <w:link w:val="a3"/>
    <w:qFormat/>
    <w:rsid w:val="00F01006"/>
    <w:rPr>
      <w:rFonts w:ascii="Calibri" w:eastAsia="宋体" w:hAnsi="Calibri" w:cs="Times New Roman"/>
      <w:sz w:val="20"/>
      <w:szCs w:val="20"/>
    </w:rPr>
  </w:style>
  <w:style w:type="character" w:customStyle="1" w:styleId="Char1">
    <w:name w:val="页脚 Char1"/>
    <w:basedOn w:val="a0"/>
    <w:link w:val="a4"/>
    <w:uiPriority w:val="99"/>
    <w:semiHidden/>
    <w:qFormat/>
    <w:rsid w:val="00F01006"/>
    <w:rPr>
      <w:rFonts w:ascii="Calibri" w:eastAsia="宋体" w:hAnsi="Calibri" w:cs="Times New Roman"/>
      <w:sz w:val="18"/>
      <w:szCs w:val="18"/>
    </w:rPr>
  </w:style>
  <w:style w:type="character" w:customStyle="1" w:styleId="Char0">
    <w:name w:val="页眉 Char"/>
    <w:basedOn w:val="a0"/>
    <w:link w:val="a5"/>
    <w:uiPriority w:val="99"/>
    <w:semiHidden/>
    <w:qFormat/>
    <w:rsid w:val="00F01006"/>
    <w:rPr>
      <w:rFonts w:ascii="Calibri" w:eastAsia="宋体" w:hAnsi="Calibri" w:cs="Times New Roman"/>
      <w:sz w:val="18"/>
      <w:szCs w:val="18"/>
    </w:rPr>
  </w:style>
  <w:style w:type="paragraph" w:styleId="a9">
    <w:name w:val="List Paragraph"/>
    <w:basedOn w:val="a"/>
    <w:uiPriority w:val="34"/>
    <w:qFormat/>
    <w:rsid w:val="00F01006"/>
    <w:pPr>
      <w:ind w:firstLineChars="200" w:firstLine="420"/>
    </w:pPr>
  </w:style>
  <w:style w:type="paragraph" w:customStyle="1" w:styleId="20">
    <w:name w:val="样式 黑体 小初 居中 首行缩进:  2 字符"/>
    <w:basedOn w:val="a"/>
    <w:qFormat/>
    <w:rsid w:val="00F01006"/>
    <w:pPr>
      <w:jc w:val="center"/>
    </w:pPr>
    <w:rPr>
      <w:rFonts w:ascii="黑体" w:eastAsia="黑体" w:cs="宋体"/>
      <w:sz w:val="72"/>
      <w:szCs w:val="20"/>
    </w:rPr>
  </w:style>
  <w:style w:type="paragraph" w:customStyle="1" w:styleId="-">
    <w:name w:val="表-居中"/>
    <w:uiPriority w:val="99"/>
    <w:qFormat/>
    <w:rsid w:val="00F01006"/>
    <w:pPr>
      <w:jc w:val="center"/>
    </w:pPr>
    <w:rPr>
      <w:rFonts w:ascii="宋体" w:eastAsia="宋体" w:hAnsi="宋体" w:cs="Times New Roman"/>
      <w:kern w:val="2"/>
      <w:sz w:val="24"/>
      <w:szCs w:val="22"/>
    </w:rPr>
  </w:style>
  <w:style w:type="paragraph" w:customStyle="1" w:styleId="aa">
    <w:name w:val="图"/>
    <w:next w:val="a"/>
    <w:uiPriority w:val="99"/>
    <w:qFormat/>
    <w:rsid w:val="00F01006"/>
    <w:pPr>
      <w:jc w:val="center"/>
    </w:pPr>
    <w:rPr>
      <w:rFonts w:ascii="Times New Roman" w:eastAsia="仿宋" w:hAnsi="Times New Roman" w:cs="Times New Roman"/>
      <w:kern w:val="2"/>
      <w:sz w:val="28"/>
      <w:szCs w:val="22"/>
    </w:rPr>
  </w:style>
  <w:style w:type="paragraph" w:styleId="ab">
    <w:name w:val="Balloon Text"/>
    <w:basedOn w:val="a"/>
    <w:link w:val="Char3"/>
    <w:uiPriority w:val="99"/>
    <w:semiHidden/>
    <w:unhideWhenUsed/>
    <w:rsid w:val="009E3F0C"/>
    <w:rPr>
      <w:sz w:val="18"/>
      <w:szCs w:val="18"/>
    </w:rPr>
  </w:style>
  <w:style w:type="character" w:customStyle="1" w:styleId="Char3">
    <w:name w:val="批注框文本 Char"/>
    <w:basedOn w:val="a0"/>
    <w:link w:val="ab"/>
    <w:uiPriority w:val="99"/>
    <w:semiHidden/>
    <w:rsid w:val="009E3F0C"/>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0005;&#23376;&#29256;&#21516;&#26102;&#21457;&#36865;&#33267;dqdz666@126.com&#21644;421052284@qq.com&#65307;"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s://baike.so.com/doc/1065537-1127330.html" TargetMode="Externa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27</Pages>
  <Words>1916</Words>
  <Characters>10926</Characters>
  <Application>Microsoft Office Word</Application>
  <DocSecurity>0</DocSecurity>
  <Lines>91</Lines>
  <Paragraphs>25</Paragraphs>
  <ScaleCrop>false</ScaleCrop>
  <Company/>
  <LinksUpToDate>false</LinksUpToDate>
  <CharactersWithSpaces>12817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22</cp:revision>
  <cp:lastPrinted>2019-07-15T02:35:00Z</cp:lastPrinted>
  <dcterms:created xsi:type="dcterms:W3CDTF">2019-07-13T16:40:00Z</dcterms:created>
  <dcterms:modified xsi:type="dcterms:W3CDTF">2019-09-18T08:04:00Z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